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425"/>
      <w:bookmarkStart w:id="3" w:name="_Toc15396475"/>
      <w:bookmarkStart w:id="4" w:name="_Toc15396597"/>
      <w:bookmarkStart w:id="5" w:name="_Toc15377193"/>
      <w:r>
        <w:rPr>
          <w:rFonts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7426"/>
      <w:bookmarkStart w:id="8" w:name="_Toc15396598"/>
      <w:bookmarkStart w:id="9" w:name="_Toc15396476"/>
      <w:bookmarkStart w:id="10" w:name="_Toc15378442"/>
      <w:r>
        <w:rPr>
          <w:rFonts w:hint="eastAsia" w:ascii="方正小标宋简体" w:hAnsi="宋体" w:eastAsia="方正小标宋简体"/>
          <w:color w:val="000000"/>
          <w:sz w:val="72"/>
          <w:szCs w:val="72"/>
        </w:rPr>
        <w:t>阿坝州</w:t>
      </w:r>
      <w:bookmarkEnd w:id="0"/>
      <w:bookmarkStart w:id="11" w:name="_Toc15306268"/>
      <w:r>
        <w:rPr>
          <w:rFonts w:ascii="方正小标宋简体" w:hAnsi="宋体" w:eastAsia="方正小标宋简体"/>
          <w:color w:val="000000"/>
          <w:sz w:val="72"/>
          <w:szCs w:val="72"/>
        </w:rPr>
        <w:t>人民检察院</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1"/>
      </w:pPr>
      <w:r>
        <w:rPr>
          <w:rFonts w:hint="eastAsia"/>
        </w:rPr>
        <w:t>公开时间：20</w:t>
      </w:r>
      <w:r>
        <w:rPr>
          <w:rFonts w:hint="eastAsia"/>
          <w:lang w:val="en-US" w:eastAsia="zh-CN"/>
        </w:rPr>
        <w:t>20</w:t>
      </w:r>
      <w:r>
        <w:rPr>
          <w:rFonts w:hint="eastAsia"/>
        </w:rPr>
        <w:t>年</w:t>
      </w:r>
      <w:r>
        <w:t>9</w:t>
      </w:r>
      <w:r>
        <w:rPr>
          <w:rFonts w:hint="eastAsia"/>
        </w:rPr>
        <w:t>月</w:t>
      </w:r>
      <w:r>
        <w:rPr>
          <w:rFonts w:hint="eastAsia"/>
          <w:lang w:val="en-US" w:eastAsia="zh-CN"/>
        </w:rPr>
        <w:t>22</w:t>
      </w:r>
      <w:r>
        <w:rPr>
          <w:rFonts w:hint="eastAsia"/>
        </w:rPr>
        <w:t>日</w:t>
      </w:r>
    </w:p>
    <w:p/>
    <w:p>
      <w:pPr>
        <w:pStyle w:val="11"/>
        <w:rPr>
          <w:rFonts w:cstheme="minorBidi"/>
        </w:rPr>
      </w:pPr>
      <w:r>
        <w:fldChar w:fldCharType="begin"/>
      </w:r>
      <w:r>
        <w:instrText xml:space="preserve"> HYPERLINK \l "_Toc15396599" </w:instrText>
      </w:r>
      <w:r>
        <w:fldChar w:fldCharType="separate"/>
      </w:r>
      <w:r>
        <w:rPr>
          <w:rStyle w:val="17"/>
          <w:rFonts w:hint="eastAsia"/>
        </w:rPr>
        <w:t>第一部分</w:t>
      </w:r>
      <w:r>
        <w:rPr>
          <w:rStyle w:val="17"/>
        </w:rPr>
        <w:t xml:space="preserve"> </w:t>
      </w:r>
      <w:r>
        <w:rPr>
          <w:rStyle w:val="17"/>
          <w:rFonts w:hint="eastAsia"/>
        </w:rPr>
        <w:t>部门概况</w:t>
      </w:r>
      <w:r>
        <w:tab/>
      </w:r>
      <w:r>
        <w:rPr>
          <w:rFonts w:hint="eastAsia"/>
        </w:rPr>
        <w:t>4</w:t>
      </w:r>
      <w:r>
        <w:rPr>
          <w:rFonts w:hint="eastAsia"/>
        </w:rPr>
        <w:fldChar w:fldCharType="end"/>
      </w:r>
    </w:p>
    <w:p>
      <w:pPr>
        <w:pStyle w:val="12"/>
        <w:rPr>
          <w:rFonts w:ascii="仿宋" w:hAnsi="仿宋" w:eastAsia="仿宋" w:cstheme="minorBidi"/>
          <w:sz w:val="28"/>
          <w:szCs w:val="28"/>
        </w:rPr>
      </w:pPr>
      <w:r>
        <w:fldChar w:fldCharType="begin"/>
      </w:r>
      <w:r>
        <w:instrText xml:space="preserve"> HYPERLINK \l "_Toc15396600" </w:instrText>
      </w:r>
      <w:r>
        <w:fldChar w:fldCharType="separate"/>
      </w:r>
      <w:r>
        <w:rPr>
          <w:rStyle w:val="17"/>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"_Toc15396601" </w:instrText>
      </w:r>
      <w:r>
        <w:fldChar w:fldCharType="separate"/>
      </w:r>
      <w:r>
        <w:rPr>
          <w:rStyle w:val="17"/>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pPr>
      <w:r>
        <w:fldChar w:fldCharType="begin"/>
      </w:r>
      <w:r>
        <w:instrText xml:space="preserve"> HYPERLINK \l "_Toc15396602" </w:instrText>
      </w:r>
      <w:r>
        <w:fldChar w:fldCharType="separate"/>
      </w:r>
      <w:r>
        <w:rPr>
          <w:rStyle w:val="17"/>
          <w:rFonts w:hint="eastAsia"/>
        </w:rPr>
        <w:t>第二部分</w:t>
      </w:r>
      <w:r>
        <w:rPr>
          <w:rStyle w:val="17"/>
        </w:rPr>
        <w:t xml:space="preserve"> 201</w:t>
      </w:r>
      <w:r>
        <w:rPr>
          <w:rStyle w:val="17"/>
          <w:rFonts w:hint="eastAsia"/>
          <w:lang w:val="en-US" w:eastAsia="zh-CN"/>
        </w:rPr>
        <w:t>9</w:t>
      </w:r>
      <w:r>
        <w:rPr>
          <w:rStyle w:val="17"/>
          <w:rFonts w:hint="eastAsia"/>
        </w:rPr>
        <w:t>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2"/>
        <w:rPr>
          <w:rFonts w:ascii="仿宋" w:hAnsi="仿宋" w:eastAsia="仿宋" w:cstheme="minorBidi"/>
          <w:sz w:val="28"/>
          <w:szCs w:val="28"/>
        </w:rPr>
      </w:pPr>
      <w:r>
        <w:fldChar w:fldCharType="begin"/>
      </w:r>
      <w:r>
        <w:instrText xml:space="preserve"> HYPERLINK \l "_Toc15396603" </w:instrText>
      </w:r>
      <w:r>
        <w:fldChar w:fldCharType="separate"/>
      </w:r>
      <w:r>
        <w:rPr>
          <w:rStyle w:val="17"/>
          <w:rFonts w:hint="eastAsia" w:ascii="仿宋" w:hAnsi="仿宋" w:eastAsia="仿宋" w:cstheme="majorBidi"/>
          <w:bCs/>
          <w:sz w:val="28"/>
          <w:szCs w:val="28"/>
        </w:rPr>
        <w:t>一、</w:t>
      </w:r>
      <w:r>
        <w:rPr>
          <w:rStyle w:val="17"/>
          <w:rFonts w:hint="eastAsia" w:ascii="仿宋" w:hAnsi="仿宋" w:eastAsia="仿宋"/>
          <w:sz w:val="28"/>
          <w:szCs w:val="28"/>
        </w:rPr>
        <w:t>收</w:t>
      </w:r>
      <w:r>
        <w:rPr>
          <w:rStyle w:val="17"/>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"_Toc15396604" </w:instrText>
      </w:r>
      <w:r>
        <w:fldChar w:fldCharType="separate"/>
      </w:r>
      <w:r>
        <w:rPr>
          <w:rStyle w:val="17"/>
          <w:rFonts w:hint="eastAsia" w:ascii="仿宋" w:hAnsi="仿宋" w:eastAsia="仿宋" w:cstheme="majorBidi"/>
          <w:bCs/>
          <w:sz w:val="28"/>
          <w:szCs w:val="28"/>
        </w:rPr>
        <w:t>二、</w:t>
      </w:r>
      <w:r>
        <w:rPr>
          <w:rStyle w:val="17"/>
          <w:rFonts w:hint="eastAsia" w:ascii="仿宋" w:hAnsi="仿宋" w:eastAsia="仿宋"/>
          <w:sz w:val="28"/>
          <w:szCs w:val="28"/>
        </w:rPr>
        <w:t>收</w:t>
      </w:r>
      <w:r>
        <w:rPr>
          <w:rStyle w:val="17"/>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"_Toc15396605" </w:instrText>
      </w:r>
      <w:r>
        <w:fldChar w:fldCharType="separate"/>
      </w:r>
      <w:r>
        <w:rPr>
          <w:rStyle w:val="17"/>
          <w:rFonts w:hint="eastAsia" w:ascii="仿宋" w:hAnsi="仿宋" w:eastAsia="仿宋" w:cstheme="majorBidi"/>
          <w:bCs/>
          <w:sz w:val="28"/>
          <w:szCs w:val="28"/>
        </w:rPr>
        <w:t>三、</w:t>
      </w:r>
      <w:r>
        <w:rPr>
          <w:rStyle w:val="17"/>
          <w:rFonts w:hint="eastAsia" w:ascii="仿宋" w:hAnsi="仿宋" w:eastAsia="仿宋"/>
          <w:sz w:val="28"/>
          <w:szCs w:val="28"/>
        </w:rPr>
        <w:t>支</w:t>
      </w:r>
      <w:r>
        <w:rPr>
          <w:rStyle w:val="17"/>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"_Toc15396606" </w:instrText>
      </w:r>
      <w:r>
        <w:fldChar w:fldCharType="separate"/>
      </w:r>
      <w:r>
        <w:rPr>
          <w:rStyle w:val="17"/>
          <w:rFonts w:hint="eastAsia" w:ascii="仿宋" w:hAnsi="仿宋" w:eastAsia="仿宋"/>
          <w:sz w:val="28"/>
          <w:szCs w:val="28"/>
        </w:rPr>
        <w:t>四、财</w:t>
      </w:r>
      <w:r>
        <w:rPr>
          <w:rStyle w:val="17"/>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"_Toc15396607" </w:instrText>
      </w:r>
      <w:r>
        <w:fldChar w:fldCharType="separate"/>
      </w:r>
      <w:r>
        <w:rPr>
          <w:rStyle w:val="17"/>
          <w:rFonts w:hint="eastAsia" w:ascii="仿宋" w:hAnsi="仿宋" w:eastAsia="仿宋"/>
          <w:sz w:val="28"/>
          <w:szCs w:val="28"/>
        </w:rPr>
        <w:t>五、一</w:t>
      </w:r>
      <w:r>
        <w:rPr>
          <w:rStyle w:val="17"/>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"_Toc15396608" </w:instrText>
      </w:r>
      <w:r>
        <w:fldChar w:fldCharType="separate"/>
      </w:r>
      <w:r>
        <w:rPr>
          <w:rStyle w:val="17"/>
          <w:rFonts w:hint="eastAsia" w:ascii="仿宋" w:hAnsi="仿宋" w:eastAsia="仿宋"/>
          <w:sz w:val="28"/>
          <w:szCs w:val="28"/>
        </w:rPr>
        <w:t>六、一</w:t>
      </w:r>
      <w:r>
        <w:rPr>
          <w:rStyle w:val="17"/>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"_Toc15396609" </w:instrText>
      </w:r>
      <w:r>
        <w:fldChar w:fldCharType="separate"/>
      </w:r>
      <w:r>
        <w:rPr>
          <w:rStyle w:val="17"/>
          <w:rFonts w:hint="eastAsia" w:ascii="仿宋" w:hAnsi="仿宋" w:eastAsia="仿宋"/>
          <w:sz w:val="28"/>
          <w:szCs w:val="28"/>
        </w:rPr>
        <w:t>七、</w:t>
      </w:r>
      <w:r>
        <w:rPr>
          <w:rStyle w:val="17"/>
          <w:rFonts w:ascii="仿宋" w:hAnsi="仿宋" w:eastAsia="仿宋"/>
          <w:sz w:val="28"/>
          <w:szCs w:val="28"/>
        </w:rPr>
        <w:t>“</w:t>
      </w:r>
      <w:r>
        <w:rPr>
          <w:rStyle w:val="17"/>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"_Toc15396610" </w:instrText>
      </w:r>
      <w:r>
        <w:fldChar w:fldCharType="separate"/>
      </w:r>
      <w:r>
        <w:rPr>
          <w:rStyle w:val="17"/>
          <w:rFonts w:hint="eastAsia" w:ascii="仿宋" w:hAnsi="仿宋" w:eastAsia="仿宋"/>
          <w:sz w:val="28"/>
          <w:szCs w:val="28"/>
        </w:rPr>
        <w:t>八、</w:t>
      </w:r>
      <w:r>
        <w:rPr>
          <w:rStyle w:val="17"/>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"_Toc15396611" </w:instrText>
      </w:r>
      <w:r>
        <w:fldChar w:fldCharType="separate"/>
      </w:r>
      <w:r>
        <w:rPr>
          <w:rStyle w:val="17"/>
          <w:rFonts w:hint="eastAsia" w:ascii="仿宋" w:hAnsi="仿宋" w:eastAsia="仿宋" w:cstheme="majorBidi"/>
          <w:bCs/>
          <w:sz w:val="28"/>
          <w:szCs w:val="28"/>
        </w:rPr>
        <w:t>九、</w:t>
      </w:r>
      <w:r>
        <w:rPr>
          <w:rStyle w:val="17"/>
          <w:rFonts w:hint="eastAsia" w:ascii="仿宋" w:hAnsi="仿宋" w:eastAsia="仿宋"/>
          <w:sz w:val="28"/>
          <w:szCs w:val="28"/>
        </w:rPr>
        <w:t>国</w:t>
      </w:r>
      <w:r>
        <w:rPr>
          <w:rStyle w:val="17"/>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12"/>
        <w:rPr>
          <w:rFonts w:hint="default" w:eastAsia="仿宋"/>
          <w:lang w:val="en-US" w:eastAsia="zh-CN"/>
        </w:rPr>
      </w:pPr>
      <w:r>
        <w:rPr>
          <w:rFonts w:hint="eastAsia" w:ascii="仿宋" w:hAnsi="仿宋" w:eastAsia="仿宋" w:cs="仿宋"/>
          <w:sz w:val="28"/>
          <w:szCs w:val="28"/>
          <w:lang w:val="en-US" w:eastAsia="zh-CN"/>
        </w:rPr>
        <w:t>十、</w:t>
      </w:r>
      <w:r>
        <w:rPr>
          <w:rFonts w:hint="eastAsia" w:ascii="仿宋" w:hAnsi="仿宋" w:eastAsia="仿宋" w:cs="仿宋"/>
          <w:sz w:val="28"/>
          <w:szCs w:val="28"/>
        </w:rPr>
        <w:t>预算绩效情况说明</w:t>
      </w:r>
      <w:r>
        <w:rPr>
          <w:rFonts w:ascii="仿宋" w:hAnsi="仿宋" w:eastAsia="仿宋"/>
          <w:sz w:val="28"/>
          <w:szCs w:val="28"/>
        </w:rPr>
        <w:tab/>
      </w:r>
      <w:r>
        <w:rPr>
          <w:rFonts w:hint="eastAsia" w:ascii="仿宋" w:hAnsi="仿宋" w:eastAsia="仿宋" w:cs="仿宋"/>
          <w:sz w:val="28"/>
          <w:szCs w:val="28"/>
          <w:lang w:val="en-US" w:eastAsia="zh-CN"/>
        </w:rPr>
        <w:t>13</w:t>
      </w:r>
    </w:p>
    <w:p>
      <w:pPr>
        <w:pStyle w:val="12"/>
        <w:rPr>
          <w:rFonts w:ascii="仿宋" w:hAnsi="仿宋" w:eastAsia="仿宋" w:cstheme="minorBidi"/>
          <w:sz w:val="28"/>
          <w:szCs w:val="28"/>
        </w:rPr>
      </w:pPr>
      <w:r>
        <w:fldChar w:fldCharType="begin"/>
      </w:r>
      <w:r>
        <w:instrText xml:space="preserve"> HYPERLINK \l "_Toc15396612" </w:instrText>
      </w:r>
      <w:r>
        <w:fldChar w:fldCharType="separate"/>
      </w:r>
      <w:r>
        <w:rPr>
          <w:rStyle w:val="17"/>
          <w:rFonts w:hint="eastAsia" w:ascii="仿宋" w:hAnsi="仿宋" w:eastAsia="仿宋"/>
          <w:sz w:val="28"/>
          <w:szCs w:val="28"/>
        </w:rPr>
        <w:t>十</w:t>
      </w:r>
      <w:r>
        <w:rPr>
          <w:rStyle w:val="17"/>
          <w:rFonts w:hint="eastAsia" w:ascii="仿宋" w:hAnsi="仿宋" w:eastAsia="仿宋"/>
          <w:sz w:val="28"/>
          <w:szCs w:val="28"/>
          <w:lang w:val="en-US" w:eastAsia="zh-CN"/>
        </w:rPr>
        <w:t>一</w:t>
      </w:r>
      <w:r>
        <w:rPr>
          <w:rStyle w:val="17"/>
          <w:rFonts w:hint="eastAsia" w:ascii="仿宋" w:hAnsi="仿宋" w:eastAsia="仿宋" w:cstheme="majorBidi"/>
          <w:bCs/>
          <w:sz w:val="28"/>
          <w:szCs w:val="28"/>
        </w:rPr>
        <w:t>、其他重要事项的情况说明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17</w:t>
      </w:r>
      <w:r>
        <w:rPr>
          <w:rFonts w:ascii="仿宋" w:hAnsi="仿宋" w:eastAsia="仿宋"/>
          <w:sz w:val="28"/>
          <w:szCs w:val="28"/>
        </w:rPr>
        <w:fldChar w:fldCharType="end"/>
      </w:r>
      <w:r>
        <w:rPr>
          <w:rFonts w:ascii="仿宋" w:hAnsi="仿宋" w:eastAsia="仿宋"/>
          <w:sz w:val="28"/>
          <w:szCs w:val="28"/>
        </w:rPr>
        <w:fldChar w:fldCharType="end"/>
      </w:r>
    </w:p>
    <w:p>
      <w:pPr>
        <w:pStyle w:val="11"/>
        <w:rPr>
          <w:rFonts w:cstheme="minorBidi"/>
        </w:rPr>
      </w:pPr>
      <w:r>
        <w:fldChar w:fldCharType="begin"/>
      </w:r>
      <w:r>
        <w:instrText xml:space="preserve"> HYPERLINK \l "_Toc15396613" </w:instrText>
      </w:r>
      <w:r>
        <w:fldChar w:fldCharType="separate"/>
      </w:r>
      <w:r>
        <w:rPr>
          <w:rStyle w:val="17"/>
          <w:rFonts w:hint="eastAsia"/>
          <w:bCs/>
          <w:kern w:val="44"/>
        </w:rPr>
        <w:t>第三部分</w:t>
      </w:r>
      <w:r>
        <w:rPr>
          <w:rStyle w:val="17"/>
          <w:rFonts w:hint="eastAsia"/>
        </w:rPr>
        <w:t xml:space="preserve"> 名</w:t>
      </w:r>
      <w:r>
        <w:rPr>
          <w:rStyle w:val="17"/>
          <w:rFonts w:hint="eastAsia"/>
          <w:bCs/>
          <w:kern w:val="44"/>
        </w:rPr>
        <w:t>词解释</w:t>
      </w:r>
      <w:bookmarkStart w:id="72" w:name="_GoBack"/>
      <w:bookmarkEnd w:id="72"/>
      <w:r>
        <w:tab/>
      </w:r>
      <w:r>
        <w:fldChar w:fldCharType="begin"/>
      </w:r>
      <w:r>
        <w:instrText xml:space="preserve"> PAGEREF _Toc15396613 \h </w:instrText>
      </w:r>
      <w:r>
        <w:fldChar w:fldCharType="separate"/>
      </w:r>
      <w:r>
        <w:t>13</w:t>
      </w:r>
      <w:r>
        <w:fldChar w:fldCharType="end"/>
      </w:r>
      <w:r>
        <w:fldChar w:fldCharType="end"/>
      </w:r>
    </w:p>
    <w:p>
      <w:pPr>
        <w:pStyle w:val="11"/>
        <w:rPr>
          <w:rFonts w:cstheme="minorBidi"/>
        </w:rPr>
      </w:pPr>
      <w:r>
        <w:fldChar w:fldCharType="begin"/>
      </w:r>
      <w:r>
        <w:instrText xml:space="preserve"> HYPERLINK \l "_Toc15396614" </w:instrText>
      </w:r>
      <w:r>
        <w:fldChar w:fldCharType="separate"/>
      </w:r>
      <w:r>
        <w:rPr>
          <w:rStyle w:val="17"/>
          <w:rFonts w:hint="eastAsia"/>
        </w:rPr>
        <w:t>第</w:t>
      </w:r>
      <w:r>
        <w:rPr>
          <w:rStyle w:val="17"/>
          <w:rFonts w:hint="eastAsia"/>
          <w:bCs/>
          <w:kern w:val="44"/>
        </w:rPr>
        <w:t>四部分</w:t>
      </w:r>
      <w:r>
        <w:rPr>
          <w:rStyle w:val="17"/>
          <w:bCs/>
          <w:kern w:val="44"/>
        </w:rPr>
        <w:t xml:space="preserve"> </w:t>
      </w:r>
      <w:r>
        <w:rPr>
          <w:rStyle w:val="17"/>
          <w:rFonts w:hint="eastAsia"/>
          <w:bCs/>
          <w:kern w:val="44"/>
        </w:rPr>
        <w:t>附件</w:t>
      </w:r>
      <w:r>
        <w:tab/>
      </w:r>
      <w:r>
        <w:fldChar w:fldCharType="begin"/>
      </w:r>
      <w:r>
        <w:instrText xml:space="preserve"> PAGEREF _Toc15396614 \h </w:instrText>
      </w:r>
      <w:r>
        <w:fldChar w:fldCharType="separate"/>
      </w:r>
      <w:r>
        <w:t>21</w:t>
      </w:r>
      <w:r>
        <w:fldChar w:fldCharType="end"/>
      </w:r>
      <w:r>
        <w:fldChar w:fldCharType="end"/>
      </w:r>
    </w:p>
    <w:p>
      <w:pPr>
        <w:pStyle w:val="12"/>
        <w:rPr>
          <w:rFonts w:ascii="仿宋" w:hAnsi="仿宋" w:eastAsia="仿宋" w:cstheme="minorBidi"/>
          <w:sz w:val="28"/>
          <w:szCs w:val="28"/>
        </w:rPr>
      </w:pPr>
      <w:r>
        <w:fldChar w:fldCharType="begin"/>
      </w:r>
      <w:r>
        <w:instrText xml:space="preserve"> HYPERLINK \l "_Toc15396615" </w:instrText>
      </w:r>
      <w:r>
        <w:fldChar w:fldCharType="separate"/>
      </w:r>
      <w:r>
        <w:rPr>
          <w:rStyle w:val="17"/>
          <w:rFonts w:hint="eastAsia" w:ascii="仿宋" w:hAnsi="仿宋" w:eastAsia="仿宋"/>
          <w:kern w:val="44"/>
          <w:sz w:val="28"/>
          <w:szCs w:val="28"/>
        </w:rPr>
        <w:t>附件</w:t>
      </w:r>
      <w:r>
        <w:rPr>
          <w:rStyle w:val="17"/>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"_Toc15396617" </w:instrText>
      </w:r>
      <w:r>
        <w:fldChar w:fldCharType="separate"/>
      </w:r>
      <w:r>
        <w:rPr>
          <w:rStyle w:val="17"/>
          <w:rFonts w:hint="eastAsia" w:ascii="仿宋" w:hAnsi="仿宋" w:eastAsia="仿宋"/>
          <w:kern w:val="44"/>
          <w:sz w:val="28"/>
          <w:szCs w:val="28"/>
        </w:rPr>
        <w:t>附件</w:t>
      </w:r>
      <w:r>
        <w:rPr>
          <w:rStyle w:val="17"/>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cstheme="minorBidi"/>
        </w:rPr>
      </w:pPr>
      <w:r>
        <w:fldChar w:fldCharType="begin"/>
      </w:r>
      <w:r>
        <w:instrText xml:space="preserve"> HYPERLINK \l "_Toc15396618" </w:instrText>
      </w:r>
      <w:r>
        <w:fldChar w:fldCharType="separate"/>
      </w:r>
      <w:r>
        <w:rPr>
          <w:rStyle w:val="17"/>
          <w:rFonts w:hint="eastAsia"/>
        </w:rPr>
        <w:t>第</w:t>
      </w:r>
      <w:r>
        <w:rPr>
          <w:rStyle w:val="17"/>
          <w:rFonts w:hint="eastAsia"/>
          <w:bCs/>
          <w:kern w:val="44"/>
        </w:rPr>
        <w:t>五部分</w:t>
      </w:r>
      <w:r>
        <w:rPr>
          <w:rStyle w:val="17"/>
          <w:bCs/>
          <w:kern w:val="44"/>
        </w:rPr>
        <w:t xml:space="preserve"> </w:t>
      </w:r>
      <w:r>
        <w:rPr>
          <w:rStyle w:val="17"/>
          <w:rFonts w:hint="eastAsia"/>
          <w:bCs/>
          <w:kern w:val="44"/>
        </w:rPr>
        <w:t>附表</w:t>
      </w:r>
      <w:r>
        <w:tab/>
      </w:r>
      <w:r>
        <w:fldChar w:fldCharType="begin"/>
      </w:r>
      <w:r>
        <w:instrText xml:space="preserve"> PAGEREF _Toc15396618 \h </w:instrText>
      </w:r>
      <w:r>
        <w:fldChar w:fldCharType="separate"/>
      </w:r>
      <w:r>
        <w:t>26</w:t>
      </w:r>
      <w:r>
        <w:fldChar w:fldCharType="end"/>
      </w:r>
      <w:r>
        <w:fldChar w:fldCharType="end"/>
      </w:r>
    </w:p>
    <w:p>
      <w:pPr>
        <w:pStyle w:val="12"/>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7"/>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7"/>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7"/>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7"/>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7"/>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7"/>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7"/>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7"/>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7"/>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7"/>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7"/>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7"/>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numPr>
          <w:ilvl w:val="0"/>
          <w:numId w:val="1"/>
        </w:numPr>
        <w:rPr>
          <w:rStyle w:val="27"/>
          <w:rFonts w:ascii="黑体" w:hAnsi="黑体" w:eastAsia="黑体"/>
          <w:b w:val="0"/>
          <w:bCs w:val="0"/>
        </w:rPr>
      </w:pPr>
      <w:bookmarkStart w:id="14" w:name="_Toc15377197"/>
      <w:bookmarkStart w:id="15" w:name="_Toc15396600"/>
      <w:r>
        <w:rPr>
          <w:rFonts w:hint="eastAsia" w:ascii="黑体" w:hAnsi="黑体" w:eastAsia="黑体"/>
          <w:b w:val="0"/>
          <w:color w:val="000000"/>
        </w:rPr>
        <w:t>基</w:t>
      </w:r>
      <w:r>
        <w:rPr>
          <w:rStyle w:val="27"/>
          <w:rFonts w:hint="eastAsia" w:ascii="黑体" w:hAnsi="黑体" w:eastAsia="黑体"/>
          <w:b w:val="0"/>
          <w:bCs w:val="0"/>
        </w:rPr>
        <w:t>本职能及主要工作</w:t>
      </w:r>
      <w:bookmarkEnd w:id="14"/>
      <w:bookmarkEnd w:id="15"/>
    </w:p>
    <w:p>
      <w:pPr>
        <w:pStyle w:val="31"/>
        <w:tabs>
          <w:tab w:val="left" w:pos="630"/>
        </w:tabs>
        <w:spacing w:before="20" w:after="20" w:line="640" w:lineRule="exact"/>
        <w:ind w:firstLine="640" w:firstLineChars="200"/>
        <w:jc w:val="left"/>
        <w:rPr>
          <w:rFonts w:ascii="仿宋_GB2312" w:eastAsia="仿宋_GB2312"/>
          <w:color w:val="333333"/>
          <w:sz w:val="32"/>
          <w:szCs w:val="32"/>
        </w:rPr>
      </w:pPr>
      <w:r>
        <w:rPr>
          <w:rFonts w:hint="eastAsia" w:ascii="仿宋_GB2312" w:eastAsia="仿宋_GB2312"/>
          <w:bCs/>
          <w:color w:val="000000"/>
          <w:sz w:val="32"/>
          <w:szCs w:val="32"/>
        </w:rPr>
        <w:t>（一）主要职能</w:t>
      </w:r>
      <w:r>
        <w:rPr>
          <w:rFonts w:hint="eastAsia"/>
          <w:bCs/>
          <w:color w:val="000000"/>
          <w:sz w:val="32"/>
          <w:szCs w:val="32"/>
        </w:rPr>
        <w:t>。</w:t>
      </w:r>
    </w:p>
    <w:p>
      <w:pPr>
        <w:adjustRightInd w:val="0"/>
        <w:snapToGrid w:val="0"/>
        <w:spacing w:line="640" w:lineRule="exact"/>
        <w:ind w:firstLine="640" w:firstLineChars="200"/>
        <w:rPr>
          <w:rFonts w:ascii="仿宋_GB2312" w:hAnsi="仿宋_GB2312" w:eastAsia="仿宋_GB2312"/>
          <w:b/>
          <w:color w:val="000000"/>
          <w:sz w:val="32"/>
        </w:rPr>
      </w:pPr>
      <w:r>
        <w:rPr>
          <w:rFonts w:hint="eastAsia" w:ascii="仿宋_GB2312" w:eastAsia="仿宋_GB2312"/>
          <w:color w:val="000000"/>
          <w:sz w:val="32"/>
          <w:szCs w:val="32"/>
        </w:rPr>
        <w:t>阿坝州人民检察院</w:t>
      </w:r>
      <w:r>
        <w:rPr>
          <w:rFonts w:hint="eastAsia" w:ascii="仿宋_GB2312" w:hAnsi="仿宋_GB2312" w:eastAsia="仿宋_GB2312"/>
          <w:color w:val="000000"/>
          <w:sz w:val="32"/>
        </w:rPr>
        <w:t>是国家的法律监督机关。领导全州各县人民检察院的工作，对阿坝州人民代表大会及其常务委员会负责并报告工作，根据我国宪法规定，人民检察院主要职责是：依法履行监督职能，保证国家法律的统一和正确实施</w:t>
      </w:r>
      <w:r>
        <w:rPr>
          <w:rFonts w:hint="eastAsia" w:ascii="仿宋_GB2312" w:hAnsi="仿宋_GB2312" w:eastAsia="仿宋_GB2312"/>
          <w:b/>
          <w:color w:val="000000"/>
          <w:sz w:val="32"/>
        </w:rPr>
        <w:t>。</w:t>
      </w:r>
    </w:p>
    <w:p>
      <w:pPr>
        <w:pStyle w:val="6"/>
        <w:adjustRightInd w:val="0"/>
        <w:snapToGrid w:val="0"/>
        <w:spacing w:before="93" w:line="520" w:lineRule="exact"/>
        <w:ind w:firstLine="480" w:firstLineChars="150"/>
        <w:rPr>
          <w:bCs/>
          <w:color w:val="000000"/>
          <w:sz w:val="32"/>
          <w:szCs w:val="32"/>
        </w:rPr>
      </w:pPr>
      <w:r>
        <w:rPr>
          <w:rFonts w:hint="eastAsia"/>
          <w:bCs/>
          <w:color w:val="000000"/>
          <w:sz w:val="32"/>
          <w:szCs w:val="32"/>
        </w:rPr>
        <w:t>（二）201</w:t>
      </w:r>
      <w:r>
        <w:rPr>
          <w:rFonts w:hint="eastAsia"/>
          <w:bCs/>
          <w:color w:val="000000"/>
          <w:sz w:val="32"/>
          <w:szCs w:val="32"/>
          <w:lang w:val="en-US" w:eastAsia="zh-CN"/>
        </w:rPr>
        <w:t>9</w:t>
      </w:r>
      <w:r>
        <w:rPr>
          <w:rFonts w:hint="eastAsia"/>
          <w:bCs/>
          <w:color w:val="000000"/>
          <w:sz w:val="32"/>
          <w:szCs w:val="32"/>
        </w:rPr>
        <w:t>年重点工作完成情况。</w:t>
      </w:r>
    </w:p>
    <w:p>
      <w:pPr>
        <w:widowControl/>
        <w:adjustRightInd w:val="0"/>
        <w:snapToGrid w:val="0"/>
        <w:spacing w:line="560" w:lineRule="exact"/>
        <w:ind w:firstLine="640" w:firstLineChars="200"/>
        <w:rPr>
          <w:rFonts w:ascii="仿宋_GB2312" w:hAnsi="仿宋_GB2312" w:eastAsia="仿宋_GB2312"/>
          <w:sz w:val="32"/>
        </w:rPr>
      </w:pPr>
      <w:r>
        <w:rPr>
          <w:rFonts w:hint="eastAsia" w:ascii="仿宋_GB2312" w:eastAsia="仿宋_GB2312"/>
          <w:color w:val="000000"/>
          <w:sz w:val="32"/>
          <w:szCs w:val="32"/>
        </w:rPr>
        <w:t>根据州委、州政府关于201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年全州工作的总体部署，201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年主要工作是:</w:t>
      </w:r>
      <w:r>
        <w:rPr>
          <w:rFonts w:hint="eastAsia" w:ascii="仿宋_GB2312" w:hAnsi="仿宋_GB2312" w:eastAsia="仿宋_GB2312"/>
          <w:color w:val="000000"/>
          <w:sz w:val="32"/>
        </w:rPr>
        <w:t xml:space="preserve"> </w:t>
      </w:r>
      <w:r>
        <w:rPr>
          <w:rFonts w:hint="eastAsia" w:ascii="仿宋_GB2312" w:hAnsi="仿宋_GB2312" w:eastAsia="仿宋_GB2312"/>
          <w:sz w:val="32"/>
        </w:rPr>
        <w:t>1.负责全州人民检察院宏观管理、指挥和协调。2.负责依法查处办理国家执法办案工作人员办案过程中犯罪的案件</w:t>
      </w:r>
      <w:r>
        <w:rPr>
          <w:rFonts w:hint="eastAsia" w:ascii="仿宋_GB2312" w:hAnsi="仿宋_GB2312" w:eastAsia="仿宋_GB2312"/>
          <w:sz w:val="32"/>
          <w:szCs w:val="32"/>
        </w:rPr>
        <w:t>。3.领导全州各县检察院依法对刑事诉讼、民事审判和行政诉讼实行监督。4.督促、指导、协调全州检察机关侦破、查处、办理各类刑事案件。5.负责全州人民检察院制度建设，指导全州人民检察院执法工作，对全州人民检察院执法质量进行监督、检查、考评。6.负责编制全州人民检察院发展建设规划，组织指导全州人民检察院装备、基础设施建设；承担装备专用物资的申请、购置、调拨、发放和管理工作。7.负责全州人民检察院机构设置、编制和人员配备的审核报批，干警招收录用协调及教育培训、立功受奖、优扶、宣传等工作，协管各县检察机关领导干部。8.负责对全州检察队伍执行法律、法规和有关规定情况、作风纪律情况及重要工作开展情况进行督察，组织查处或指导查处检察院干警违法、违纪案件，指导全州检察队伍党风廉政建设。9.</w:t>
      </w:r>
      <w:r>
        <w:rPr>
          <w:rFonts w:hint="eastAsia" w:ascii="仿宋_GB2312" w:hAnsi="仿宋_GB2312" w:eastAsia="仿宋_GB2312"/>
          <w:sz w:val="32"/>
        </w:rPr>
        <w:t xml:space="preserve">负责检察系统不稳定因素的协调和调解工作；担负机关维稳、综治、消防等工作。 </w:t>
      </w:r>
    </w:p>
    <w:p>
      <w:pPr>
        <w:pStyle w:val="3"/>
        <w:rPr>
          <w:rStyle w:val="27"/>
          <w:b w:val="0"/>
          <w:bCs w:val="0"/>
        </w:rPr>
      </w:pPr>
      <w:bookmarkStart w:id="16" w:name="_Toc15396601"/>
      <w:bookmarkStart w:id="17" w:name="_Toc1537720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16"/>
      <w:bookmarkEnd w:id="17"/>
    </w:p>
    <w:p>
      <w:pPr>
        <w:pStyle w:val="13"/>
        <w:widowControl/>
        <w:spacing w:line="640" w:lineRule="exact"/>
        <w:ind w:firstLine="630" w:firstLineChars="196"/>
        <w:rPr>
          <w:rFonts w:hint="eastAsia" w:ascii="仿宋_GB2312" w:hAnsi="宋体" w:eastAsia="仿宋_GB2312" w:cs="宋体"/>
          <w:color w:val="2A2A2A"/>
          <w:sz w:val="32"/>
          <w:szCs w:val="32"/>
        </w:rPr>
      </w:pPr>
      <w:r>
        <w:rPr>
          <w:rFonts w:hint="eastAsia" w:ascii="仿宋_GB2312" w:hAnsi="Dotum" w:eastAsia="仿宋_GB2312"/>
          <w:b/>
          <w:sz w:val="32"/>
        </w:rPr>
        <w:t>（一）机构情况。</w:t>
      </w:r>
      <w:r>
        <w:rPr>
          <w:rFonts w:ascii="仿宋" w:hAnsi="仿宋" w:eastAsia="仿宋"/>
          <w:sz w:val="32"/>
          <w:szCs w:val="32"/>
        </w:rPr>
        <w:t>无</w:t>
      </w:r>
      <w:r>
        <w:rPr>
          <w:rFonts w:hint="eastAsia" w:ascii="仿宋" w:hAnsi="仿宋" w:eastAsia="仿宋"/>
          <w:sz w:val="32"/>
          <w:szCs w:val="32"/>
        </w:rPr>
        <w:t>下属二级单位，</w:t>
      </w:r>
      <w:r>
        <w:rPr>
          <w:rFonts w:ascii="仿宋" w:hAnsi="仿宋" w:eastAsia="仿宋"/>
          <w:sz w:val="32"/>
          <w:szCs w:val="32"/>
        </w:rPr>
        <w:t xml:space="preserve"> </w:t>
      </w:r>
      <w:r>
        <w:rPr>
          <w:rFonts w:hint="eastAsia" w:ascii="仿宋_GB2312" w:hAnsi="宋体" w:eastAsia="仿宋_GB2312" w:cs="宋体"/>
          <w:color w:val="2A2A2A"/>
          <w:sz w:val="32"/>
          <w:szCs w:val="32"/>
        </w:rPr>
        <w:t>我院内设机构1</w:t>
      </w:r>
      <w:r>
        <w:rPr>
          <w:rFonts w:ascii="仿宋_GB2312" w:hAnsi="宋体" w:eastAsia="仿宋_GB2312" w:cs="宋体"/>
          <w:color w:val="2A2A2A"/>
          <w:sz w:val="32"/>
          <w:szCs w:val="32"/>
        </w:rPr>
        <w:t>5</w:t>
      </w:r>
      <w:r>
        <w:rPr>
          <w:rFonts w:hint="eastAsia" w:ascii="仿宋_GB2312" w:hAnsi="宋体" w:eastAsia="仿宋_GB2312" w:cs="宋体"/>
          <w:color w:val="2A2A2A"/>
          <w:sz w:val="32"/>
          <w:szCs w:val="32"/>
        </w:rPr>
        <w:t>个，具体是：办公室、政治</w:t>
      </w:r>
      <w:r>
        <w:rPr>
          <w:rFonts w:hint="eastAsia" w:ascii="仿宋_GB2312" w:hAnsi="宋体" w:eastAsia="仿宋_GB2312" w:cs="宋体"/>
          <w:color w:val="2A2A2A"/>
          <w:sz w:val="32"/>
          <w:szCs w:val="32"/>
          <w:lang w:eastAsia="zh-CN"/>
        </w:rPr>
        <w:t>部（</w:t>
      </w:r>
      <w:r>
        <w:rPr>
          <w:rFonts w:hint="eastAsia" w:ascii="仿宋_GB2312" w:hAnsi="宋体" w:eastAsia="仿宋_GB2312" w:cs="宋体"/>
          <w:color w:val="2A2A2A"/>
          <w:sz w:val="32"/>
          <w:szCs w:val="32"/>
          <w:lang w:val="en-US" w:eastAsia="zh-CN"/>
        </w:rPr>
        <w:t>司法警察支队、下设干部处、宣教处</w:t>
      </w:r>
      <w:r>
        <w:rPr>
          <w:rFonts w:hint="eastAsia" w:ascii="仿宋_GB2312" w:hAnsi="宋体" w:eastAsia="仿宋_GB2312" w:cs="宋体"/>
          <w:color w:val="2A2A2A"/>
          <w:sz w:val="32"/>
          <w:szCs w:val="32"/>
          <w:lang w:eastAsia="zh-CN"/>
        </w:rPr>
        <w:t>）</w:t>
      </w:r>
      <w:r>
        <w:rPr>
          <w:rFonts w:hint="eastAsia" w:ascii="仿宋_GB2312" w:hAnsi="宋体" w:eastAsia="仿宋_GB2312" w:cs="宋体"/>
          <w:color w:val="2A2A2A"/>
          <w:sz w:val="32"/>
          <w:szCs w:val="32"/>
        </w:rPr>
        <w:t>、</w:t>
      </w:r>
      <w:r>
        <w:rPr>
          <w:rFonts w:hint="eastAsia" w:ascii="仿宋_GB2312" w:hAnsi="宋体" w:eastAsia="仿宋_GB2312" w:cs="宋体"/>
          <w:color w:val="2A2A2A"/>
          <w:sz w:val="32"/>
          <w:szCs w:val="32"/>
          <w:lang w:eastAsia="zh-CN"/>
        </w:rPr>
        <w:t>第一检察部</w:t>
      </w:r>
      <w:r>
        <w:rPr>
          <w:rFonts w:hint="eastAsia" w:ascii="仿宋_GB2312" w:hAnsi="宋体" w:eastAsia="仿宋_GB2312" w:cs="宋体"/>
          <w:color w:val="2A2A2A"/>
          <w:sz w:val="32"/>
          <w:szCs w:val="32"/>
        </w:rPr>
        <w:t>、</w:t>
      </w:r>
      <w:r>
        <w:rPr>
          <w:rFonts w:hint="eastAsia" w:ascii="仿宋_GB2312" w:hAnsi="宋体" w:eastAsia="仿宋_GB2312" w:cs="宋体"/>
          <w:color w:val="2A2A2A"/>
          <w:sz w:val="32"/>
          <w:szCs w:val="32"/>
          <w:lang w:val="en-US" w:eastAsia="zh-CN"/>
        </w:rPr>
        <w:t>第二检察部、第三检察部</w:t>
      </w:r>
      <w:r>
        <w:rPr>
          <w:rFonts w:hint="eastAsia" w:ascii="仿宋_GB2312" w:hAnsi="宋体" w:eastAsia="仿宋_GB2312" w:cs="宋体"/>
          <w:color w:val="2A2A2A"/>
          <w:sz w:val="32"/>
          <w:szCs w:val="32"/>
        </w:rPr>
        <w:t>、</w:t>
      </w:r>
      <w:r>
        <w:rPr>
          <w:rFonts w:hint="eastAsia" w:ascii="仿宋_GB2312" w:hAnsi="宋体" w:eastAsia="仿宋_GB2312" w:cs="宋体"/>
          <w:color w:val="2A2A2A"/>
          <w:sz w:val="32"/>
          <w:szCs w:val="32"/>
          <w:lang w:val="en-US" w:eastAsia="zh-CN"/>
        </w:rPr>
        <w:t>第四检察部</w:t>
      </w:r>
      <w:r>
        <w:rPr>
          <w:rFonts w:hint="eastAsia" w:ascii="仿宋_GB2312" w:hAnsi="宋体" w:eastAsia="仿宋_GB2312" w:cs="宋体"/>
          <w:color w:val="2A2A2A"/>
          <w:sz w:val="32"/>
          <w:szCs w:val="32"/>
        </w:rPr>
        <w:t>、</w:t>
      </w:r>
      <w:r>
        <w:rPr>
          <w:rFonts w:hint="eastAsia" w:ascii="仿宋_GB2312" w:hAnsi="宋体" w:eastAsia="仿宋_GB2312" w:cs="宋体"/>
          <w:color w:val="2A2A2A"/>
          <w:sz w:val="32"/>
          <w:szCs w:val="32"/>
          <w:lang w:val="en-US" w:eastAsia="zh-CN"/>
        </w:rPr>
        <w:t>第五检察部</w:t>
      </w:r>
      <w:r>
        <w:rPr>
          <w:rFonts w:hint="eastAsia" w:ascii="仿宋_GB2312" w:hAnsi="宋体" w:eastAsia="仿宋_GB2312" w:cs="宋体"/>
          <w:color w:val="2A2A2A"/>
          <w:sz w:val="32"/>
          <w:szCs w:val="32"/>
        </w:rPr>
        <w:t>、</w:t>
      </w:r>
      <w:r>
        <w:rPr>
          <w:rFonts w:hint="eastAsia" w:ascii="仿宋_GB2312" w:hAnsi="宋体" w:eastAsia="仿宋_GB2312" w:cs="宋体"/>
          <w:color w:val="2A2A2A"/>
          <w:sz w:val="32"/>
          <w:szCs w:val="32"/>
          <w:lang w:val="en-US" w:eastAsia="zh-CN"/>
        </w:rPr>
        <w:t>第六检察部</w:t>
      </w:r>
      <w:r>
        <w:rPr>
          <w:rFonts w:hint="eastAsia" w:ascii="仿宋_GB2312" w:hAnsi="宋体" w:eastAsia="仿宋_GB2312" w:cs="宋体"/>
          <w:color w:val="2A2A2A"/>
          <w:sz w:val="32"/>
          <w:szCs w:val="32"/>
        </w:rPr>
        <w:t>、</w:t>
      </w:r>
      <w:r>
        <w:rPr>
          <w:rFonts w:hint="eastAsia" w:ascii="仿宋_GB2312" w:hAnsi="宋体" w:eastAsia="仿宋_GB2312" w:cs="宋体"/>
          <w:color w:val="2A2A2A"/>
          <w:sz w:val="32"/>
          <w:szCs w:val="32"/>
          <w:lang w:val="en-US" w:eastAsia="zh-CN"/>
        </w:rPr>
        <w:t>第七检察部</w:t>
      </w:r>
      <w:r>
        <w:rPr>
          <w:rFonts w:hint="eastAsia" w:ascii="仿宋_GB2312" w:hAnsi="宋体" w:eastAsia="仿宋_GB2312" w:cs="宋体"/>
          <w:color w:val="2A2A2A"/>
          <w:sz w:val="32"/>
          <w:szCs w:val="32"/>
        </w:rPr>
        <w:t>、</w:t>
      </w:r>
      <w:r>
        <w:rPr>
          <w:rFonts w:hint="eastAsia" w:ascii="仿宋_GB2312" w:hAnsi="宋体" w:eastAsia="仿宋_GB2312" w:cs="宋体"/>
          <w:color w:val="2A2A2A"/>
          <w:sz w:val="32"/>
          <w:szCs w:val="32"/>
          <w:lang w:val="en-US" w:eastAsia="zh-CN"/>
        </w:rPr>
        <w:t>第八检察部</w:t>
      </w:r>
      <w:r>
        <w:rPr>
          <w:rFonts w:hint="eastAsia" w:ascii="仿宋_GB2312" w:hAnsi="宋体" w:eastAsia="仿宋_GB2312" w:cs="宋体"/>
          <w:color w:val="2A2A2A"/>
          <w:sz w:val="32"/>
          <w:szCs w:val="32"/>
        </w:rPr>
        <w:t>、计划财务装备</w:t>
      </w:r>
      <w:r>
        <w:rPr>
          <w:rFonts w:hint="eastAsia" w:ascii="仿宋_GB2312" w:hAnsi="宋体" w:eastAsia="仿宋_GB2312" w:cs="宋体"/>
          <w:color w:val="2A2A2A"/>
          <w:sz w:val="32"/>
          <w:szCs w:val="32"/>
          <w:lang w:val="en-US" w:eastAsia="zh-CN"/>
        </w:rPr>
        <w:t>部、</w:t>
      </w:r>
      <w:r>
        <w:rPr>
          <w:rFonts w:hint="eastAsia" w:ascii="仿宋_GB2312" w:hAnsi="宋体" w:eastAsia="仿宋_GB2312" w:cs="宋体"/>
          <w:color w:val="2A2A2A"/>
          <w:sz w:val="32"/>
          <w:szCs w:val="32"/>
        </w:rPr>
        <w:t>法律政策研究室、</w:t>
      </w:r>
      <w:r>
        <w:rPr>
          <w:rFonts w:hint="eastAsia" w:ascii="仿宋_GB2312" w:hAnsi="宋体" w:eastAsia="仿宋_GB2312" w:cs="宋体"/>
          <w:color w:val="2A2A2A"/>
          <w:sz w:val="32"/>
          <w:szCs w:val="32"/>
          <w:lang w:val="en-US" w:eastAsia="zh-CN"/>
        </w:rPr>
        <w:t>检务督察部、</w:t>
      </w:r>
      <w:r>
        <w:rPr>
          <w:rFonts w:hint="eastAsia" w:ascii="仿宋_GB2312" w:hAnsi="宋体" w:eastAsia="仿宋_GB2312" w:cs="宋体"/>
          <w:color w:val="2A2A2A"/>
          <w:sz w:val="32"/>
          <w:szCs w:val="32"/>
        </w:rPr>
        <w:t>案件管理办公室、</w:t>
      </w:r>
      <w:r>
        <w:rPr>
          <w:rFonts w:hint="eastAsia" w:ascii="仿宋_GB2312" w:hAnsi="宋体" w:eastAsia="仿宋_GB2312" w:cs="宋体"/>
          <w:color w:val="2A2A2A"/>
          <w:sz w:val="32"/>
          <w:szCs w:val="32"/>
          <w:lang w:eastAsia="zh-CN"/>
        </w:rPr>
        <w:t>检察技术信息部</w:t>
      </w:r>
      <w:r>
        <w:rPr>
          <w:rFonts w:hint="eastAsia" w:ascii="仿宋_GB2312" w:hAnsi="宋体" w:eastAsia="仿宋_GB2312" w:cs="宋体"/>
          <w:color w:val="2A2A2A"/>
          <w:sz w:val="32"/>
          <w:szCs w:val="32"/>
        </w:rPr>
        <w:t>。</w:t>
      </w:r>
    </w:p>
    <w:p>
      <w:pPr>
        <w:ind w:firstLine="800" w:firstLineChars="250"/>
        <w:rPr>
          <w:rFonts w:ascii="仿宋" w:hAnsi="仿宋" w:eastAsia="仿宋"/>
          <w:sz w:val="32"/>
          <w:szCs w:val="32"/>
        </w:rPr>
      </w:pPr>
    </w:p>
    <w:p>
      <w:pPr>
        <w:pStyle w:val="31"/>
        <w:tabs>
          <w:tab w:val="left" w:pos="630"/>
        </w:tabs>
        <w:spacing w:before="20" w:after="20" w:line="640" w:lineRule="exact"/>
        <w:ind w:firstLine="643" w:firstLineChars="200"/>
        <w:jc w:val="left"/>
        <w:rPr>
          <w:rFonts w:ascii="仿宋_GB2312" w:hAnsi="Dotum" w:eastAsia="仿宋_GB2312"/>
          <w:sz w:val="32"/>
        </w:rPr>
      </w:pPr>
      <w:r>
        <w:rPr>
          <w:rFonts w:hint="eastAsia" w:ascii="仿宋_GB2312" w:hAnsi="Dotum" w:eastAsia="仿宋_GB2312"/>
          <w:b/>
          <w:sz w:val="32"/>
        </w:rPr>
        <w:t>（二）人员情况。</w:t>
      </w:r>
      <w:r>
        <w:rPr>
          <w:rFonts w:hint="eastAsia" w:ascii="仿宋_GB2312" w:hAnsi="宋体" w:eastAsia="仿宋_GB2312" w:cs="宋体"/>
          <w:color w:val="2A2A2A"/>
          <w:sz w:val="32"/>
          <w:szCs w:val="32"/>
        </w:rPr>
        <w:t>我院人员编制数</w:t>
      </w:r>
      <w:r>
        <w:rPr>
          <w:rFonts w:hint="eastAsia" w:ascii="仿宋_GB2312" w:hAnsi="宋体" w:eastAsia="仿宋_GB2312" w:cs="宋体"/>
          <w:color w:val="2A2A2A"/>
          <w:sz w:val="32"/>
          <w:szCs w:val="32"/>
          <w:lang w:val="en-US" w:eastAsia="zh-CN"/>
        </w:rPr>
        <w:t>72</w:t>
      </w:r>
      <w:r>
        <w:rPr>
          <w:rFonts w:hint="eastAsia" w:ascii="仿宋_GB2312" w:hAnsi="宋体" w:eastAsia="仿宋_GB2312" w:cs="宋体"/>
          <w:color w:val="2A2A2A"/>
          <w:sz w:val="32"/>
          <w:szCs w:val="32"/>
        </w:rPr>
        <w:t>名，其中政法专项编制</w:t>
      </w:r>
      <w:r>
        <w:rPr>
          <w:rFonts w:hint="eastAsia" w:ascii="仿宋_GB2312" w:hAnsi="宋体" w:eastAsia="仿宋_GB2312" w:cs="宋体"/>
          <w:color w:val="2A2A2A"/>
          <w:sz w:val="32"/>
          <w:szCs w:val="32"/>
          <w:lang w:val="en-US" w:eastAsia="zh-CN"/>
        </w:rPr>
        <w:t>59</w:t>
      </w:r>
      <w:r>
        <w:rPr>
          <w:rFonts w:hint="eastAsia" w:ascii="仿宋_GB2312" w:hAnsi="宋体" w:eastAsia="仿宋_GB2312" w:cs="宋体"/>
          <w:color w:val="2A2A2A"/>
          <w:sz w:val="32"/>
          <w:szCs w:val="32"/>
        </w:rPr>
        <w:t>名，工勤编制13名。截止</w:t>
      </w:r>
      <w:r>
        <w:rPr>
          <w:rFonts w:hint="eastAsia" w:ascii="仿宋_GB2312" w:hAnsi="宋体" w:eastAsia="仿宋_GB2312" w:cs="宋体"/>
          <w:color w:val="2A2A2A"/>
          <w:sz w:val="32"/>
          <w:szCs w:val="32"/>
          <w:lang w:eastAsia="zh-CN"/>
        </w:rPr>
        <w:t>2020</w:t>
      </w:r>
      <w:r>
        <w:rPr>
          <w:rFonts w:hint="eastAsia" w:ascii="仿宋_GB2312" w:hAnsi="宋体" w:eastAsia="仿宋_GB2312" w:cs="宋体"/>
          <w:color w:val="2A2A2A"/>
          <w:sz w:val="32"/>
          <w:szCs w:val="32"/>
        </w:rPr>
        <w:t>年</w:t>
      </w:r>
      <w:r>
        <w:rPr>
          <w:rFonts w:hint="eastAsia" w:ascii="仿宋_GB2312" w:hAnsi="宋体" w:eastAsia="仿宋_GB2312" w:cs="宋体"/>
          <w:color w:val="2A2A2A"/>
          <w:sz w:val="32"/>
          <w:szCs w:val="32"/>
          <w:lang w:eastAsia="zh-CN"/>
        </w:rPr>
        <w:t>8</w:t>
      </w:r>
      <w:r>
        <w:rPr>
          <w:rFonts w:hint="eastAsia" w:ascii="仿宋_GB2312" w:hAnsi="宋体" w:eastAsia="仿宋_GB2312" w:cs="宋体"/>
          <w:color w:val="2A2A2A"/>
          <w:sz w:val="32"/>
          <w:szCs w:val="32"/>
        </w:rPr>
        <w:t>月底在职人员总数</w:t>
      </w:r>
      <w:r>
        <w:rPr>
          <w:rFonts w:hint="eastAsia" w:ascii="仿宋_GB2312" w:hAnsi="宋体" w:eastAsia="仿宋_GB2312" w:cs="宋体"/>
          <w:color w:val="2A2A2A"/>
          <w:sz w:val="32"/>
          <w:szCs w:val="32"/>
          <w:lang w:eastAsia="zh-CN"/>
        </w:rPr>
        <w:t>60</w:t>
      </w:r>
      <w:r>
        <w:rPr>
          <w:rFonts w:hint="eastAsia" w:ascii="仿宋_GB2312" w:hAnsi="宋体" w:eastAsia="仿宋_GB2312" w:cs="宋体"/>
          <w:color w:val="2A2A2A"/>
          <w:sz w:val="32"/>
          <w:szCs w:val="32"/>
        </w:rPr>
        <w:t>名，其中政法专项编制</w:t>
      </w:r>
      <w:r>
        <w:rPr>
          <w:rFonts w:ascii="仿宋_GB2312" w:hAnsi="宋体" w:eastAsia="仿宋_GB2312" w:cs="宋体"/>
          <w:color w:val="2A2A2A"/>
          <w:sz w:val="32"/>
          <w:szCs w:val="32"/>
        </w:rPr>
        <w:t>5</w:t>
      </w:r>
      <w:r>
        <w:rPr>
          <w:rFonts w:hint="eastAsia" w:ascii="仿宋_GB2312" w:hAnsi="宋体" w:eastAsia="仿宋_GB2312" w:cs="宋体"/>
          <w:color w:val="2A2A2A"/>
          <w:sz w:val="32"/>
          <w:szCs w:val="32"/>
          <w:lang w:eastAsia="zh-CN"/>
        </w:rPr>
        <w:t>3</w:t>
      </w:r>
      <w:r>
        <w:rPr>
          <w:rFonts w:hint="eastAsia" w:ascii="仿宋_GB2312" w:hAnsi="宋体" w:eastAsia="仿宋_GB2312" w:cs="宋体"/>
          <w:color w:val="2A2A2A"/>
          <w:sz w:val="32"/>
          <w:szCs w:val="32"/>
        </w:rPr>
        <w:t>人，工勤人员</w:t>
      </w:r>
      <w:r>
        <w:rPr>
          <w:rFonts w:hint="eastAsia" w:ascii="仿宋_GB2312" w:hAnsi="宋体" w:eastAsia="仿宋_GB2312" w:cs="宋体"/>
          <w:color w:val="2A2A2A"/>
          <w:sz w:val="32"/>
          <w:szCs w:val="32"/>
          <w:lang w:eastAsia="zh-CN"/>
        </w:rPr>
        <w:t>7</w:t>
      </w:r>
      <w:r>
        <w:rPr>
          <w:rFonts w:hint="eastAsia" w:ascii="仿宋_GB2312" w:hAnsi="宋体" w:eastAsia="仿宋_GB2312" w:cs="宋体"/>
          <w:color w:val="2A2A2A"/>
          <w:sz w:val="32"/>
          <w:szCs w:val="32"/>
        </w:rPr>
        <w:t>人；退休人员</w:t>
      </w:r>
      <w:r>
        <w:rPr>
          <w:rFonts w:hint="eastAsia" w:ascii="仿宋_GB2312" w:hAnsi="宋体" w:eastAsia="仿宋_GB2312" w:cs="宋体"/>
          <w:color w:val="2A2A2A"/>
          <w:sz w:val="32"/>
          <w:szCs w:val="32"/>
          <w:lang w:eastAsia="zh-CN"/>
        </w:rPr>
        <w:t>41</w:t>
      </w:r>
      <w:r>
        <w:rPr>
          <w:rFonts w:hint="eastAsia" w:ascii="仿宋_GB2312" w:hAnsi="宋体" w:eastAsia="仿宋_GB2312" w:cs="宋体"/>
          <w:color w:val="2A2A2A"/>
          <w:sz w:val="32"/>
          <w:szCs w:val="32"/>
        </w:rPr>
        <w:t>人、离休人员2人。检察长1人，副检察长3人，党组成员6人（含正副检察长）、政治部主任、2名专检委委员、1名机关党总支书记为实职副县级领导干部。</w:t>
      </w:r>
    </w:p>
    <w:p>
      <w:pPr>
        <w:pStyle w:val="6"/>
        <w:adjustRightInd w:val="0"/>
        <w:snapToGrid w:val="0"/>
        <w:spacing w:before="93" w:line="600" w:lineRule="exact"/>
        <w:rPr>
          <w:rFonts w:ascii="仿宋" w:hAnsi="仿宋" w:eastAsia="仿宋"/>
          <w:color w:val="000000"/>
          <w:sz w:val="32"/>
          <w:szCs w:val="32"/>
        </w:rPr>
      </w:pPr>
      <w:r>
        <w:rPr>
          <w:rFonts w:ascii="仿宋" w:hAnsi="仿宋" w:eastAsia="仿宋"/>
          <w:color w:val="000000"/>
          <w:sz w:val="32"/>
          <w:szCs w:val="32"/>
        </w:rPr>
        <w:br w:type="page"/>
      </w:r>
    </w:p>
    <w:p>
      <w:pPr>
        <w:pStyle w:val="2"/>
        <w:ind w:right="440"/>
        <w:jc w:val="right"/>
        <w:rPr>
          <w:rStyle w:val="26"/>
          <w:rFonts w:ascii="黑体" w:hAnsi="黑体" w:eastAsia="黑体"/>
          <w:b w:val="0"/>
          <w:bCs w:val="0"/>
        </w:rPr>
      </w:pPr>
      <w:bookmarkStart w:id="18" w:name="_Toc15396602"/>
      <w:bookmarkStart w:id="19"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w:t>
      </w:r>
      <w:r>
        <w:rPr>
          <w:rStyle w:val="26"/>
          <w:rFonts w:hint="eastAsia" w:ascii="黑体" w:hAnsi="黑体" w:eastAsia="黑体"/>
          <w:b w:val="0"/>
          <w:bCs w:val="0"/>
          <w:lang w:val="en-US" w:eastAsia="zh-CN"/>
        </w:rPr>
        <w:t>19</w:t>
      </w:r>
      <w:r>
        <w:rPr>
          <w:rStyle w:val="26"/>
          <w:rFonts w:hint="eastAsia" w:ascii="黑体" w:hAnsi="黑体" w:eastAsia="黑体"/>
          <w:b w:val="0"/>
          <w:bCs w:val="0"/>
        </w:rPr>
        <w:t>年度部门决算情况说明</w:t>
      </w:r>
      <w:bookmarkEnd w:id="18"/>
      <w:bookmarkEnd w:id="19"/>
    </w:p>
    <w:p/>
    <w:p>
      <w:pPr>
        <w:pStyle w:val="25"/>
        <w:numPr>
          <w:ilvl w:val="0"/>
          <w:numId w:val="2"/>
        </w:numPr>
        <w:spacing w:line="600" w:lineRule="exact"/>
        <w:ind w:firstLineChars="0"/>
        <w:outlineLvl w:val="1"/>
        <w:rPr>
          <w:rStyle w:val="27"/>
          <w:rFonts w:ascii="黑体" w:hAnsi="黑体" w:eastAsia="黑体"/>
          <w:b w:val="0"/>
        </w:rPr>
      </w:pPr>
      <w:bookmarkStart w:id="20" w:name="_Toc15396603"/>
      <w:bookmarkStart w:id="21"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0"/>
      <w:bookmarkEnd w:id="21"/>
    </w:p>
    <w:p>
      <w:pPr>
        <w:spacing w:line="600" w:lineRule="exact"/>
        <w:ind w:firstLine="648"/>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年度收入总计</w:t>
      </w:r>
      <w:r>
        <w:rPr>
          <w:rFonts w:hint="eastAsia" w:ascii="仿宋" w:hAnsi="仿宋" w:eastAsia="仿宋"/>
          <w:color w:val="000000"/>
          <w:sz w:val="32"/>
          <w:szCs w:val="32"/>
          <w:lang w:val="en-US" w:eastAsia="zh-CN"/>
        </w:rPr>
        <w:t>3404.39</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年相比，收入总计增加</w:t>
      </w:r>
      <w:r>
        <w:rPr>
          <w:rFonts w:hint="eastAsia" w:ascii="仿宋" w:hAnsi="仿宋" w:eastAsia="仿宋"/>
          <w:color w:val="000000"/>
          <w:sz w:val="32"/>
          <w:szCs w:val="32"/>
          <w:lang w:val="en-US" w:eastAsia="zh-CN"/>
        </w:rPr>
        <w:t>435.18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12.78</w:t>
      </w:r>
      <w:r>
        <w:rPr>
          <w:rFonts w:ascii="仿宋" w:hAnsi="仿宋" w:eastAsia="仿宋"/>
          <w:color w:val="000000"/>
          <w:sz w:val="32"/>
          <w:szCs w:val="32"/>
        </w:rPr>
        <w:t>%</w:t>
      </w: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年度支出总计</w:t>
      </w:r>
      <w:r>
        <w:rPr>
          <w:rFonts w:hint="eastAsia" w:ascii="仿宋" w:hAnsi="仿宋" w:eastAsia="仿宋"/>
          <w:color w:val="000000"/>
          <w:sz w:val="32"/>
          <w:szCs w:val="32"/>
          <w:lang w:val="en-US" w:eastAsia="zh-CN"/>
        </w:rPr>
        <w:t>3404.39</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年相比，支出总计增加</w:t>
      </w:r>
      <w:r>
        <w:rPr>
          <w:rFonts w:hint="eastAsia" w:ascii="仿宋" w:hAnsi="仿宋" w:eastAsia="仿宋"/>
          <w:color w:val="000000"/>
          <w:sz w:val="32"/>
          <w:szCs w:val="32"/>
          <w:lang w:val="en-US" w:eastAsia="zh-CN"/>
        </w:rPr>
        <w:t>267.87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7.9</w:t>
      </w:r>
      <w:r>
        <w:rPr>
          <w:rFonts w:hint="eastAsia" w:ascii="仿宋" w:hAnsi="仿宋" w:eastAsia="仿宋"/>
          <w:color w:val="000000"/>
          <w:sz w:val="32"/>
          <w:szCs w:val="32"/>
        </w:rPr>
        <w:t>%。主要变动原因是业务量增大。</w:t>
      </w: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600" w:lineRule="exact"/>
        <w:ind w:firstLine="648"/>
        <w:rPr>
          <w:rFonts w:hint="eastAsia" w:ascii="仿宋" w:hAnsi="仿宋" w:eastAsia="仿宋"/>
          <w:color w:val="000000" w:themeColor="text1"/>
          <w:sz w:val="32"/>
          <w:szCs w:val="32"/>
          <w14:textFill>
            <w14:solidFill>
              <w14:schemeClr w14:val="tx1"/>
            </w14:solidFill>
          </w14:textFill>
        </w:rPr>
      </w:pPr>
    </w:p>
    <w:p>
      <w:pPr>
        <w:spacing w:line="600" w:lineRule="exact"/>
        <w:ind w:firstLine="648"/>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drawing>
          <wp:anchor distT="0" distB="0" distL="114300" distR="114300" simplePos="0" relativeHeight="251687936" behindDoc="0" locked="0" layoutInCell="1" allowOverlap="1">
            <wp:simplePos x="0" y="0"/>
            <wp:positionH relativeFrom="column">
              <wp:posOffset>381000</wp:posOffset>
            </wp:positionH>
            <wp:positionV relativeFrom="paragraph">
              <wp:posOffset>156845</wp:posOffset>
            </wp:positionV>
            <wp:extent cx="4415790" cy="2316480"/>
            <wp:effectExtent l="4445" t="4445" r="14605" b="10795"/>
            <wp:wrapNone/>
            <wp:docPr id="2"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8"/>
        <w:rPr>
          <w:rFonts w:hint="eastAsia" w:ascii="仿宋" w:hAnsi="仿宋" w:eastAsia="仿宋"/>
          <w:color w:val="000000" w:themeColor="text1"/>
          <w:sz w:val="32"/>
          <w:szCs w:val="32"/>
          <w14:textFill>
            <w14:solidFill>
              <w14:schemeClr w14:val="tx1"/>
            </w14:solidFill>
          </w14:textFill>
        </w:rPr>
      </w:pPr>
    </w:p>
    <w:p>
      <w:pPr>
        <w:spacing w:line="600" w:lineRule="exact"/>
        <w:ind w:firstLine="648"/>
        <w:rPr>
          <w:rFonts w:hint="eastAsia" w:ascii="仿宋" w:hAnsi="仿宋" w:eastAsia="仿宋"/>
          <w:color w:val="000000" w:themeColor="text1"/>
          <w:sz w:val="32"/>
          <w:szCs w:val="32"/>
          <w14:textFill>
            <w14:solidFill>
              <w14:schemeClr w14:val="tx1"/>
            </w14:solidFill>
          </w14:textFill>
        </w:rPr>
      </w:pPr>
    </w:p>
    <w:p>
      <w:pPr>
        <w:spacing w:line="600" w:lineRule="exact"/>
        <w:ind w:firstLine="648"/>
        <w:rPr>
          <w:rFonts w:hint="eastAsia" w:ascii="仿宋" w:hAnsi="仿宋" w:eastAsia="仿宋"/>
          <w:color w:val="000000" w:themeColor="text1"/>
          <w:sz w:val="32"/>
          <w:szCs w:val="32"/>
          <w14:textFill>
            <w14:solidFill>
              <w14:schemeClr w14:val="tx1"/>
            </w14:solidFill>
          </w14:textFill>
        </w:rPr>
      </w:pPr>
    </w:p>
    <w:p>
      <w:pPr>
        <w:spacing w:line="600" w:lineRule="exact"/>
        <w:ind w:firstLine="648"/>
        <w:rPr>
          <w:rFonts w:hint="eastAsia" w:ascii="仿宋" w:hAnsi="仿宋" w:eastAsia="仿宋"/>
          <w:color w:val="000000" w:themeColor="text1"/>
          <w:sz w:val="32"/>
          <w:szCs w:val="32"/>
          <w:lang w:eastAsia="zh-CN"/>
          <w14:textFill>
            <w14:solidFill>
              <w14:schemeClr w14:val="tx1"/>
            </w14:solidFill>
          </w14:textFill>
        </w:rPr>
      </w:pPr>
    </w:p>
    <w:p>
      <w:pPr>
        <w:spacing w:line="600" w:lineRule="exact"/>
        <w:ind w:firstLine="648"/>
        <w:rPr>
          <w:rFonts w:ascii="仿宋" w:hAnsi="仿宋" w:eastAsia="仿宋"/>
          <w:color w:val="000000" w:themeColor="text1"/>
          <w:sz w:val="32"/>
          <w:szCs w:val="32"/>
          <w14:textFill>
            <w14:solidFill>
              <w14:schemeClr w14:val="tx1"/>
            </w14:solidFill>
          </w14:textFill>
        </w:rPr>
      </w:pPr>
    </w:p>
    <w:p>
      <w:pPr>
        <w:spacing w:line="600" w:lineRule="exact"/>
        <w:ind w:firstLine="648"/>
        <w:rPr>
          <w:rFonts w:ascii="仿宋" w:hAnsi="仿宋" w:eastAsia="仿宋"/>
          <w:color w:val="000000" w:themeColor="text1"/>
          <w:sz w:val="32"/>
          <w:szCs w:val="32"/>
          <w14:textFill>
            <w14:solidFill>
              <w14:schemeClr w14:val="tx1"/>
            </w14:solidFill>
          </w14:textFill>
        </w:rPr>
      </w:pPr>
    </w:p>
    <w:p>
      <w:pPr>
        <w:spacing w:line="600" w:lineRule="exact"/>
        <w:ind w:firstLine="648"/>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drawing>
          <wp:anchor distT="0" distB="0" distL="114300" distR="114300" simplePos="0" relativeHeight="251718656" behindDoc="0" locked="0" layoutInCell="1" allowOverlap="1">
            <wp:simplePos x="0" y="0"/>
            <wp:positionH relativeFrom="column">
              <wp:posOffset>213995</wp:posOffset>
            </wp:positionH>
            <wp:positionV relativeFrom="paragraph">
              <wp:posOffset>342265</wp:posOffset>
            </wp:positionV>
            <wp:extent cx="5146040" cy="2270760"/>
            <wp:effectExtent l="4445" t="4445" r="15875" b="10795"/>
            <wp:wrapNone/>
            <wp:docPr id="3"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8"/>
        <w:rPr>
          <w:rFonts w:ascii="仿宋" w:hAnsi="仿宋" w:eastAsia="仿宋"/>
          <w:color w:val="000000" w:themeColor="text1"/>
          <w:sz w:val="32"/>
          <w:szCs w:val="32"/>
          <w14:textFill>
            <w14:solidFill>
              <w14:schemeClr w14:val="tx1"/>
            </w14:solidFill>
          </w14:textFill>
        </w:rPr>
      </w:pPr>
    </w:p>
    <w:p>
      <w:pPr>
        <w:spacing w:line="600" w:lineRule="exact"/>
        <w:ind w:firstLine="648"/>
        <w:rPr>
          <w:rFonts w:ascii="仿宋" w:hAnsi="仿宋" w:eastAsia="仿宋"/>
          <w:color w:val="000000" w:themeColor="text1"/>
          <w:sz w:val="32"/>
          <w:szCs w:val="32"/>
          <w14:textFill>
            <w14:solidFill>
              <w14:schemeClr w14:val="tx1"/>
            </w14:solidFill>
          </w14:textFill>
        </w:rPr>
      </w:pPr>
    </w:p>
    <w:p>
      <w:pPr>
        <w:spacing w:line="600" w:lineRule="exact"/>
        <w:ind w:firstLine="648"/>
        <w:rPr>
          <w:rFonts w:ascii="仿宋" w:hAnsi="仿宋" w:eastAsia="仿宋"/>
          <w:color w:val="000000" w:themeColor="text1"/>
          <w:sz w:val="32"/>
          <w:szCs w:val="32"/>
          <w14:textFill>
            <w14:solidFill>
              <w14:schemeClr w14:val="tx1"/>
            </w14:solidFill>
          </w14:textFill>
        </w:rPr>
      </w:pPr>
    </w:p>
    <w:p>
      <w:pPr>
        <w:spacing w:line="600" w:lineRule="exact"/>
        <w:ind w:firstLine="648"/>
        <w:rPr>
          <w:rFonts w:ascii="仿宋" w:hAnsi="仿宋" w:eastAsia="仿宋"/>
          <w:color w:val="000000" w:themeColor="text1"/>
          <w:sz w:val="32"/>
          <w:szCs w:val="32"/>
          <w14:textFill>
            <w14:solidFill>
              <w14:schemeClr w14:val="tx1"/>
            </w14:solidFill>
          </w14:textFill>
        </w:rPr>
      </w:pPr>
    </w:p>
    <w:p>
      <w:pPr>
        <w:spacing w:line="600" w:lineRule="exact"/>
        <w:rPr>
          <w:rFonts w:ascii="仿宋" w:hAnsi="仿宋" w:eastAsia="仿宋"/>
          <w:color w:val="000000" w:themeColor="text1"/>
          <w:sz w:val="32"/>
          <w:szCs w:val="32"/>
          <w14:textFill>
            <w14:solidFill>
              <w14:schemeClr w14:val="tx1"/>
            </w14:solidFill>
          </w14:textFill>
        </w:rPr>
      </w:pPr>
    </w:p>
    <w:p>
      <w:pPr>
        <w:pStyle w:val="25"/>
        <w:numPr>
          <w:ilvl w:val="0"/>
          <w:numId w:val="2"/>
        </w:numPr>
        <w:spacing w:line="600" w:lineRule="exact"/>
        <w:ind w:firstLineChars="0"/>
        <w:outlineLvl w:val="1"/>
        <w:rPr>
          <w:rStyle w:val="27"/>
          <w:rFonts w:ascii="黑体" w:hAnsi="黑体" w:eastAsia="黑体"/>
          <w:b w:val="0"/>
        </w:rPr>
      </w:pPr>
      <w:bookmarkStart w:id="22" w:name="_Toc15377206"/>
      <w:bookmarkStart w:id="23" w:name="_Toc15396604"/>
      <w:r>
        <w:rPr>
          <w:rFonts w:hint="eastAsia" w:ascii="黑体" w:hAnsi="黑体" w:eastAsia="黑体"/>
          <w:color w:val="000000"/>
          <w:sz w:val="32"/>
          <w:szCs w:val="32"/>
        </w:rPr>
        <w:t>收</w:t>
      </w:r>
      <w:r>
        <w:rPr>
          <w:rStyle w:val="27"/>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2865.91</w:t>
      </w:r>
      <w:r>
        <w:rPr>
          <w:rFonts w:hint="eastAsia" w:ascii="仿宋" w:hAnsi="仿宋" w:eastAsia="仿宋"/>
          <w:color w:val="000000"/>
          <w:sz w:val="32"/>
          <w:szCs w:val="32"/>
        </w:rPr>
        <w:t>万元，一般公共预算财政拨款收入</w:t>
      </w:r>
      <w:r>
        <w:rPr>
          <w:rFonts w:hint="eastAsia" w:ascii="仿宋" w:hAnsi="仿宋" w:eastAsia="仿宋"/>
          <w:color w:val="000000"/>
          <w:sz w:val="32"/>
          <w:szCs w:val="32"/>
          <w:lang w:val="en-US" w:eastAsia="zh-CN"/>
        </w:rPr>
        <w:t>2865.91</w:t>
      </w:r>
      <w:r>
        <w:rPr>
          <w:rFonts w:hint="eastAsia" w:ascii="仿宋" w:hAnsi="仿宋" w:eastAsia="仿宋"/>
          <w:color w:val="000000"/>
          <w:sz w:val="32"/>
          <w:szCs w:val="32"/>
        </w:rPr>
        <w:t>万元；政府性基金预算财政拨款收入0元，占0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；其他收入40.4万元，占1.3</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742950</wp:posOffset>
            </wp:positionH>
            <wp:positionV relativeFrom="paragraph">
              <wp:posOffset>30480</wp:posOffset>
            </wp:positionV>
            <wp:extent cx="3954780" cy="1760220"/>
            <wp:effectExtent l="19050" t="0" r="26670" b="0"/>
            <wp:wrapSquare wrapText="bothSides"/>
            <wp:docPr id="6"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p>
    <w:p>
      <w:pPr>
        <w:pStyle w:val="25"/>
        <w:numPr>
          <w:ilvl w:val="0"/>
          <w:numId w:val="2"/>
        </w:numPr>
        <w:spacing w:line="600" w:lineRule="exact"/>
        <w:ind w:firstLineChars="0"/>
        <w:outlineLvl w:val="1"/>
        <w:rPr>
          <w:rStyle w:val="27"/>
          <w:rFonts w:ascii="黑体" w:hAnsi="黑体" w:eastAsia="黑体"/>
          <w:b w:val="0"/>
        </w:rPr>
      </w:pPr>
      <w:bookmarkStart w:id="24" w:name="_Toc15377207"/>
      <w:bookmarkStart w:id="25"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24"/>
      <w:bookmarkEnd w:id="2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2789.31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2503.63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89.76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285.68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10.24</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51667456" behindDoc="0" locked="0" layoutInCell="1" allowOverlap="1">
            <wp:simplePos x="0" y="0"/>
            <wp:positionH relativeFrom="column">
              <wp:posOffset>579120</wp:posOffset>
            </wp:positionH>
            <wp:positionV relativeFrom="paragraph">
              <wp:posOffset>99060</wp:posOffset>
            </wp:positionV>
            <wp:extent cx="3886200" cy="2209800"/>
            <wp:effectExtent l="19050" t="0" r="19050" b="0"/>
            <wp:wrapSquare wrapText="bothSides"/>
            <wp:docPr id="19"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mc:AlternateContent>
          <mc:Choice Requires="wps">
            <w:drawing>
              <wp:anchor distT="0" distB="0" distL="114300" distR="114300" simplePos="0" relativeHeight="251669504" behindDoc="0" locked="0" layoutInCell="1" allowOverlap="1">
                <wp:simplePos x="0" y="0"/>
                <wp:positionH relativeFrom="column">
                  <wp:posOffset>579120</wp:posOffset>
                </wp:positionH>
                <wp:positionV relativeFrom="paragraph">
                  <wp:posOffset>2381250</wp:posOffset>
                </wp:positionV>
                <wp:extent cx="3886200" cy="635"/>
                <wp:effectExtent l="0" t="0" r="0" b="0"/>
                <wp:wrapSquare wrapText="bothSides"/>
                <wp:docPr id="1" name="文本框 4"/>
                <wp:cNvGraphicFramePr/>
                <a:graphic xmlns:a="http://schemas.openxmlformats.org/drawingml/2006/main">
                  <a:graphicData uri="http://schemas.microsoft.com/office/word/2010/wordprocessingShape">
                    <wps:wsp>
                      <wps:cNvSpPr txBox="1"/>
                      <wps:spPr>
                        <a:xfrm>
                          <a:off x="0" y="0"/>
                          <a:ext cx="3886200" cy="635"/>
                        </a:xfrm>
                        <a:prstGeom prst="rect">
                          <a:avLst/>
                        </a:prstGeom>
                        <a:solidFill>
                          <a:srgbClr val="FFFFFF"/>
                        </a:solidFill>
                        <a:ln>
                          <a:noFill/>
                        </a:ln>
                      </wps:spPr>
                      <wps:txbx>
                        <w:txbxContent>
                          <w:p>
                            <w:pPr>
                              <w:pStyle w:val="5"/>
                              <w:rPr>
                                <w:rFonts w:ascii="仿宋_GB2312" w:hAnsi="Times New Roman" w:eastAsia="仿宋_GB2312" w:cs="Times New Roman"/>
                                <w:color w:val="FF0000"/>
                                <w:sz w:val="32"/>
                                <w:szCs w:val="32"/>
                              </w:rPr>
                            </w:pPr>
                          </w:p>
                        </w:txbxContent>
                      </wps:txbx>
                      <wps:bodyPr lIns="0" tIns="0" rIns="0" bIns="0" upright="1">
                        <a:spAutoFit/>
                      </wps:bodyPr>
                    </wps:wsp>
                  </a:graphicData>
                </a:graphic>
              </wp:anchor>
            </w:drawing>
          </mc:Choice>
          <mc:Fallback>
            <w:pict>
              <v:shape id="文本框 4" o:spid="_x0000_s1026" o:spt="202" type="#_x0000_t202" style="position:absolute;left:0pt;margin-left:45.6pt;margin-top:187.5pt;height:0.05pt;width:306pt;mso-wrap-distance-bottom:0pt;mso-wrap-distance-left:9pt;mso-wrap-distance-right:9pt;mso-wrap-distance-top:0pt;z-index:251669504;mso-width-relative:page;mso-height-relative:page;" fillcolor="#FFFFFF" filled="t" stroked="f" coordsize="21600,21600" o:gfxdata="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whMe7ZAAAACgEAAA8AAAAAAAAAAQAgAAAAIgAAAGRycy9kb3ducmV2LnhtbFBL&#10;AQIUABQAAAAIAIdO4kA4tabMvAEAAGQDAAAOAAAAAAAAAAEAIAAAACgBAABkcnMvZTJvRG9jLnht&#10;bFBLBQYAAAAABgAGAFkBAABWBQAAAAA=&#10;">
                <v:fill on="t" focussize="0,0"/>
                <v:stroke on="f"/>
                <v:imagedata o:title=""/>
                <o:lock v:ext="edit" aspectratio="f"/>
                <v:textbox inset="0mm,0mm,0mm,0mm" style="mso-fit-shape-to-text:t;">
                  <w:txbxContent>
                    <w:p>
                      <w:pPr>
                        <w:pStyle w:val="5"/>
                        <w:rPr>
                          <w:rFonts w:ascii="仿宋_GB2312" w:hAnsi="Times New Roman" w:eastAsia="仿宋_GB2312" w:cs="Times New Roman"/>
                          <w:color w:val="FF0000"/>
                          <w:sz w:val="32"/>
                          <w:szCs w:val="32"/>
                        </w:rPr>
                      </w:pPr>
                    </w:p>
                  </w:txbxContent>
                </v:textbox>
                <w10:wrap type="square"/>
              </v:shape>
            </w:pict>
          </mc:Fallback>
        </mc:AlternateContent>
      </w:r>
    </w:p>
    <w:p>
      <w:pPr>
        <w:spacing w:line="600" w:lineRule="exact"/>
        <w:ind w:firstLine="640" w:firstLineChars="200"/>
        <w:outlineLvl w:val="1"/>
        <w:rPr>
          <w:rFonts w:ascii="黑体" w:hAnsi="黑体" w:eastAsia="黑体"/>
          <w:color w:val="000000"/>
          <w:sz w:val="32"/>
          <w:szCs w:val="32"/>
        </w:rPr>
      </w:pPr>
      <w:bookmarkStart w:id="26" w:name="_Toc15377208"/>
      <w:bookmarkStart w:id="27" w:name="_Toc15396606"/>
    </w:p>
    <w:p>
      <w:pPr>
        <w:spacing w:line="600" w:lineRule="exact"/>
        <w:ind w:firstLine="640" w:firstLineChars="200"/>
        <w:outlineLvl w:val="1"/>
        <w:rPr>
          <w:rFonts w:ascii="黑体" w:hAnsi="黑体" w:eastAsia="黑体"/>
          <w:color w:val="000000"/>
          <w:sz w:val="32"/>
          <w:szCs w:val="32"/>
        </w:rPr>
      </w:pPr>
    </w:p>
    <w:p>
      <w:pPr>
        <w:spacing w:line="600" w:lineRule="exact"/>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26"/>
      <w:bookmarkEnd w:id="27"/>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2865.91</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年相比，财政拨款收、支总计各增加</w:t>
      </w:r>
      <w:r>
        <w:rPr>
          <w:rFonts w:hint="eastAsia" w:ascii="仿宋" w:hAnsi="仿宋" w:eastAsia="仿宋"/>
          <w:color w:val="000000"/>
          <w:sz w:val="32"/>
          <w:szCs w:val="32"/>
          <w:lang w:val="en-US" w:eastAsia="zh-CN"/>
        </w:rPr>
        <w:t>62.9</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减少2.15</w:t>
      </w:r>
      <w:r>
        <w:rPr>
          <w:rFonts w:ascii="仿宋" w:hAnsi="仿宋" w:eastAsia="仿宋"/>
          <w:color w:val="000000"/>
          <w:sz w:val="32"/>
          <w:szCs w:val="32"/>
        </w:rPr>
        <w:t>%</w:t>
      </w:r>
      <w:r>
        <w:rPr>
          <w:rFonts w:hint="eastAsia" w:ascii="仿宋" w:hAnsi="仿宋" w:eastAsia="仿宋"/>
          <w:color w:val="000000"/>
          <w:sz w:val="32"/>
          <w:szCs w:val="32"/>
        </w:rPr>
        <w:t>。主要变动原因是人员经费增加和业务量增大。</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drawing>
          <wp:anchor distT="0" distB="0" distL="114300" distR="114300" simplePos="0" relativeHeight="251670528" behindDoc="0" locked="0" layoutInCell="1" allowOverlap="1">
            <wp:simplePos x="0" y="0"/>
            <wp:positionH relativeFrom="column">
              <wp:posOffset>422910</wp:posOffset>
            </wp:positionH>
            <wp:positionV relativeFrom="paragraph">
              <wp:posOffset>76200</wp:posOffset>
            </wp:positionV>
            <wp:extent cx="4415790" cy="2042160"/>
            <wp:effectExtent l="19050" t="0" r="22860" b="0"/>
            <wp:wrapNone/>
            <wp:docPr id="24"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rPr>
          <w:rFonts w:ascii="仿宋" w:hAnsi="仿宋" w:eastAsia="仿宋"/>
          <w:b/>
          <w:color w:val="000000" w:themeColor="text1"/>
          <w:sz w:val="32"/>
          <w:szCs w:val="32"/>
          <w14:textFill>
            <w14:solidFill>
              <w14:schemeClr w14:val="tx1"/>
            </w14:solidFill>
          </w14:textFill>
        </w:rPr>
      </w:pPr>
    </w:p>
    <w:p>
      <w:pPr>
        <w:spacing w:line="600" w:lineRule="exact"/>
        <w:ind w:firstLine="640"/>
        <w:rPr>
          <w:rFonts w:ascii="仿宋" w:hAnsi="仿宋" w:eastAsia="仿宋"/>
          <w:b/>
          <w:color w:val="000000" w:themeColor="text1"/>
          <w:sz w:val="32"/>
          <w:szCs w:val="32"/>
          <w14:textFill>
            <w14:solidFill>
              <w14:schemeClr w14:val="tx1"/>
            </w14:solidFill>
          </w14:textFill>
        </w:rPr>
      </w:pPr>
    </w:p>
    <w:p>
      <w:pPr>
        <w:spacing w:line="600" w:lineRule="exact"/>
        <w:ind w:firstLine="640"/>
        <w:rPr>
          <w:rFonts w:ascii="仿宋" w:hAnsi="仿宋" w:eastAsia="仿宋"/>
          <w:b/>
          <w:color w:val="000000" w:themeColor="text1"/>
          <w:sz w:val="32"/>
          <w:szCs w:val="32"/>
          <w14:textFill>
            <w14:solidFill>
              <w14:schemeClr w14:val="tx1"/>
            </w14:solidFill>
          </w14:textFill>
        </w:rPr>
      </w:pPr>
    </w:p>
    <w:p>
      <w:pPr>
        <w:spacing w:line="600" w:lineRule="exact"/>
        <w:ind w:firstLine="640"/>
        <w:rPr>
          <w:rFonts w:ascii="仿宋" w:hAnsi="仿宋" w:eastAsia="仿宋"/>
          <w:b/>
          <w:color w:val="000000" w:themeColor="text1"/>
          <w:sz w:val="32"/>
          <w:szCs w:val="32"/>
          <w14:textFill>
            <w14:solidFill>
              <w14:schemeClr w14:val="tx1"/>
            </w14:solidFill>
          </w14:textFill>
        </w:rPr>
      </w:pPr>
    </w:p>
    <w:p>
      <w:pPr>
        <w:spacing w:line="600" w:lineRule="exact"/>
        <w:rPr>
          <w:rFonts w:ascii="仿宋" w:hAnsi="仿宋" w:eastAsia="仿宋"/>
          <w:b/>
          <w:color w:val="000000" w:themeColor="text1"/>
          <w:sz w:val="32"/>
          <w:szCs w:val="32"/>
          <w14:textFill>
            <w14:solidFill>
              <w14:schemeClr w14:val="tx1"/>
            </w14:solidFill>
          </w14:textFill>
        </w:rPr>
      </w:pPr>
    </w:p>
    <w:p>
      <w:pPr>
        <w:spacing w:line="600" w:lineRule="exact"/>
        <w:ind w:firstLine="640" w:firstLineChars="200"/>
        <w:outlineLvl w:val="1"/>
        <w:rPr>
          <w:rStyle w:val="27"/>
          <w:rFonts w:ascii="黑体" w:hAnsi="黑体" w:eastAsia="黑体"/>
          <w:b w:val="0"/>
        </w:rPr>
      </w:pPr>
      <w:bookmarkStart w:id="28" w:name="_Toc15377209"/>
      <w:bookmarkStart w:id="29"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2769.37</w:t>
      </w:r>
      <w:r>
        <w:rPr>
          <w:rFonts w:hint="eastAsia" w:ascii="仿宋" w:hAnsi="仿宋" w:eastAsia="仿宋"/>
          <w:color w:val="000000"/>
          <w:sz w:val="32"/>
          <w:szCs w:val="32"/>
        </w:rPr>
        <w:t>万元，占本年支出合计的99.36</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减少347.17</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w:t>
      </w: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1.14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1.厉行节约2.压减日常公用开支3.人员减少（司法体制改革转隶到纪委监委）</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71552" behindDoc="0" locked="0" layoutInCell="1" allowOverlap="1">
            <wp:simplePos x="0" y="0"/>
            <wp:positionH relativeFrom="column">
              <wp:posOffset>420370</wp:posOffset>
            </wp:positionH>
            <wp:positionV relativeFrom="paragraph">
              <wp:posOffset>60960</wp:posOffset>
            </wp:positionV>
            <wp:extent cx="4410710" cy="1645920"/>
            <wp:effectExtent l="19050" t="0" r="27940" b="0"/>
            <wp:wrapNone/>
            <wp:docPr id="25"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rPr>
          <w:rFonts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2769.37</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 xml:space="preserve"> 公共安全（204）</w:t>
      </w:r>
      <w:r>
        <w:rPr>
          <w:rFonts w:hint="eastAsia" w:ascii="仿宋" w:hAnsi="仿宋" w:eastAsia="仿宋"/>
          <w:bCs/>
          <w:color w:val="000000" w:themeColor="text1"/>
          <w:sz w:val="32"/>
          <w:szCs w:val="32"/>
          <w14:textFill>
            <w14:solidFill>
              <w14:schemeClr w14:val="tx1"/>
            </w14:solidFill>
          </w14:textFill>
        </w:rPr>
        <w:t>支出</w:t>
      </w:r>
      <w:r>
        <w:rPr>
          <w:rFonts w:hint="eastAsia" w:ascii="仿宋" w:hAnsi="仿宋" w:eastAsia="仿宋"/>
          <w:bCs/>
          <w:color w:val="000000" w:themeColor="text1"/>
          <w:sz w:val="32"/>
          <w:szCs w:val="32"/>
          <w:lang w:val="en-US" w:eastAsia="zh-CN"/>
          <w14:textFill>
            <w14:solidFill>
              <w14:schemeClr w14:val="tx1"/>
            </w14:solidFill>
          </w14:textFill>
        </w:rPr>
        <w:t>2317.57</w:t>
      </w:r>
      <w:r>
        <w:rPr>
          <w:rFonts w:hint="eastAsia" w:ascii="仿宋" w:hAnsi="仿宋" w:eastAsia="仿宋"/>
          <w:bCs/>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83.7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社会保障和就业（208）</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205.33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7.41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医疗卫生（210）</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100.91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3.64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住房保障支出（221）</w:t>
      </w:r>
      <w:r>
        <w:rPr>
          <w:rFonts w:hint="eastAsia" w:ascii="仿宋" w:hAnsi="仿宋" w:eastAsia="仿宋"/>
          <w:color w:val="000000" w:themeColor="text1"/>
          <w:sz w:val="32"/>
          <w:szCs w:val="32"/>
          <w:lang w:val="en-US" w:eastAsia="zh-CN"/>
          <w14:textFill>
            <w14:solidFill>
              <w14:schemeClr w14:val="tx1"/>
            </w14:solidFill>
          </w14:textFill>
        </w:rPr>
        <w:t>145.55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5.25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72576" behindDoc="0" locked="0" layoutInCell="1" allowOverlap="1">
            <wp:simplePos x="0" y="0"/>
            <wp:positionH relativeFrom="column">
              <wp:posOffset>369570</wp:posOffset>
            </wp:positionH>
            <wp:positionV relativeFrom="paragraph">
              <wp:posOffset>304800</wp:posOffset>
            </wp:positionV>
            <wp:extent cx="4535170" cy="2583180"/>
            <wp:effectExtent l="19050" t="0" r="17780" b="7620"/>
            <wp:wrapNone/>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2" w:name="_Toc15377212"/>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2"/>
    </w:p>
    <w:p>
      <w:pPr>
        <w:spacing w:line="600" w:lineRule="exact"/>
        <w:ind w:firstLine="640" w:firstLineChars="200"/>
        <w:outlineLvl w:val="2"/>
        <w:rPr>
          <w:rFonts w:ascii="仿宋" w:hAnsi="仿宋" w:eastAsia="仿宋"/>
          <w:b w:val="0"/>
          <w:bCs/>
          <w:color w:val="FF0000"/>
          <w:sz w:val="32"/>
          <w:szCs w:val="32"/>
        </w:rPr>
      </w:pPr>
      <w:bookmarkStart w:id="33" w:name="_Toc15377213"/>
      <w:bookmarkStart w:id="34" w:name="_Toc15378460"/>
      <w:bookmarkStart w:id="35" w:name="_Toc15377444"/>
      <w:r>
        <w:rPr>
          <w:rFonts w:hint="eastAsia" w:ascii="仿宋" w:hAnsi="仿宋" w:eastAsia="仿宋"/>
          <w:b w:val="0"/>
          <w:bCs/>
          <w:color w:val="000000" w:themeColor="text1"/>
          <w:sz w:val="32"/>
          <w:szCs w:val="32"/>
          <w14:textFill>
            <w14:solidFill>
              <w14:schemeClr w14:val="tx1"/>
            </w14:solidFill>
          </w14:textFill>
        </w:rPr>
        <w:t>201</w:t>
      </w:r>
      <w:r>
        <w:rPr>
          <w:rFonts w:hint="eastAsia" w:ascii="仿宋" w:hAnsi="仿宋" w:eastAsia="仿宋"/>
          <w:b w:val="0"/>
          <w:bCs/>
          <w:color w:val="000000" w:themeColor="text1"/>
          <w:sz w:val="32"/>
          <w:szCs w:val="32"/>
          <w:lang w:val="en-US" w:eastAsia="zh-CN"/>
          <w14:textFill>
            <w14:solidFill>
              <w14:schemeClr w14:val="tx1"/>
            </w14:solidFill>
          </w14:textFill>
        </w:rPr>
        <w:t>9</w:t>
      </w:r>
      <w:r>
        <w:rPr>
          <w:rFonts w:hint="eastAsia" w:ascii="仿宋" w:hAnsi="仿宋" w:eastAsia="仿宋"/>
          <w:b w:val="0"/>
          <w:bCs/>
          <w:color w:val="000000" w:themeColor="text1"/>
          <w:sz w:val="32"/>
          <w:szCs w:val="32"/>
          <w14:textFill>
            <w14:solidFill>
              <w14:schemeClr w14:val="tx1"/>
            </w14:solidFill>
          </w14:textFill>
        </w:rPr>
        <w:t>年一般公共预算支出决算数为</w:t>
      </w:r>
      <w:r>
        <w:rPr>
          <w:rFonts w:hint="eastAsia" w:ascii="仿宋" w:hAnsi="仿宋" w:eastAsia="仿宋"/>
          <w:b w:val="0"/>
          <w:bCs/>
          <w:color w:val="000000" w:themeColor="text1"/>
          <w:sz w:val="32"/>
          <w:szCs w:val="32"/>
          <w:lang w:val="en-US" w:eastAsia="zh-CN"/>
          <w14:textFill>
            <w14:solidFill>
              <w14:schemeClr w14:val="tx1"/>
            </w14:solidFill>
          </w14:textFill>
        </w:rPr>
        <w:t>2769.37</w:t>
      </w:r>
      <w:r>
        <w:rPr>
          <w:rFonts w:ascii="仿宋" w:hAnsi="仿宋" w:eastAsia="仿宋"/>
          <w:b w:val="0"/>
          <w:bCs/>
          <w:color w:val="000000" w:themeColor="text1"/>
          <w:sz w:val="32"/>
          <w:szCs w:val="32"/>
          <w14:textFill>
            <w14:solidFill>
              <w14:schemeClr w14:val="tx1"/>
            </w14:solidFill>
          </w14:textFill>
        </w:rPr>
        <w:t>万元</w:t>
      </w:r>
      <w:r>
        <w:rPr>
          <w:rFonts w:hint="eastAsia" w:ascii="仿宋" w:hAnsi="仿宋" w:eastAsia="仿宋"/>
          <w:b w:val="0"/>
          <w:bCs/>
          <w:color w:val="000000" w:themeColor="text1"/>
          <w:sz w:val="32"/>
          <w:szCs w:val="32"/>
          <w14:textFill>
            <w14:solidFill>
              <w14:schemeClr w14:val="tx1"/>
            </w14:solidFill>
          </w14:textFill>
        </w:rPr>
        <w:t>，</w:t>
      </w:r>
      <w:r>
        <w:rPr>
          <w:rStyle w:val="16"/>
          <w:rFonts w:hint="eastAsia" w:ascii="仿宋" w:hAnsi="仿宋" w:eastAsia="仿宋"/>
          <w:b w:val="0"/>
          <w:bCs/>
          <w:color w:val="000000" w:themeColor="text1"/>
          <w:sz w:val="32"/>
          <w:szCs w:val="32"/>
          <w14:textFill>
            <w14:solidFill>
              <w14:schemeClr w14:val="tx1"/>
            </w14:solidFill>
          </w14:textFill>
        </w:rPr>
        <w:t>完成</w:t>
      </w:r>
      <w:r>
        <w:rPr>
          <w:rStyle w:val="16"/>
          <w:rFonts w:hint="eastAsia" w:ascii="仿宋" w:hAnsi="仿宋" w:eastAsia="仿宋"/>
          <w:b w:val="0"/>
          <w:bCs/>
          <w:color w:val="000000"/>
          <w:sz w:val="32"/>
          <w:szCs w:val="32"/>
        </w:rPr>
        <w:t>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。其中：</w:t>
      </w:r>
      <w:bookmarkEnd w:id="33"/>
      <w:bookmarkEnd w:id="34"/>
      <w:bookmarkEnd w:id="35"/>
    </w:p>
    <w:p>
      <w:pPr>
        <w:spacing w:line="600" w:lineRule="exact"/>
        <w:ind w:firstLine="640" w:firstLineChars="200"/>
        <w:rPr>
          <w:rStyle w:val="16"/>
          <w:rFonts w:ascii="仿宋_GB2312" w:eastAsia="仿宋_GB2312"/>
          <w:b w:val="0"/>
          <w:bCs/>
          <w:color w:val="000000"/>
          <w:sz w:val="32"/>
          <w:szCs w:val="32"/>
        </w:rPr>
      </w:pPr>
      <w:r>
        <w:rPr>
          <w:rStyle w:val="16"/>
          <w:rFonts w:hint="eastAsia" w:ascii="仿宋" w:hAnsi="仿宋" w:eastAsia="仿宋"/>
          <w:b w:val="0"/>
          <w:bCs/>
          <w:color w:val="000000"/>
          <w:sz w:val="32"/>
          <w:szCs w:val="32"/>
        </w:rPr>
        <w:t>1.公共安全（204）检察（04）行政运行（01）:</w:t>
      </w:r>
      <w:r>
        <w:rPr>
          <w:rStyle w:val="16"/>
          <w:rFonts w:hint="eastAsia" w:ascii="仿宋_GB2312" w:eastAsia="仿宋_GB2312"/>
          <w:b w:val="0"/>
          <w:bCs/>
          <w:color w:val="000000"/>
          <w:sz w:val="32"/>
          <w:szCs w:val="32"/>
        </w:rPr>
        <w:t xml:space="preserve"> 支出决算为</w:t>
      </w:r>
      <w:r>
        <w:rPr>
          <w:rStyle w:val="16"/>
          <w:rFonts w:hint="eastAsia" w:ascii="仿宋_GB2312" w:eastAsia="仿宋_GB2312"/>
          <w:b w:val="0"/>
          <w:bCs/>
          <w:color w:val="000000"/>
          <w:sz w:val="32"/>
          <w:szCs w:val="32"/>
          <w:lang w:val="en-US" w:eastAsia="zh-CN"/>
        </w:rPr>
        <w:t>2031.89</w:t>
      </w:r>
      <w:r>
        <w:rPr>
          <w:rStyle w:val="16"/>
          <w:rFonts w:hint="eastAsia" w:ascii="仿宋_GB2312" w:eastAsia="仿宋_GB2312"/>
          <w:b w:val="0"/>
          <w:bCs/>
          <w:color w:val="000000"/>
          <w:sz w:val="32"/>
          <w:szCs w:val="32"/>
        </w:rPr>
        <w:t>万元，完成预算100%。</w:t>
      </w:r>
    </w:p>
    <w:p>
      <w:pPr>
        <w:spacing w:line="600" w:lineRule="exact"/>
        <w:ind w:left="643"/>
        <w:rPr>
          <w:rStyle w:val="16"/>
          <w:rFonts w:ascii="仿宋_GB2312" w:eastAsia="仿宋_GB2312"/>
          <w:b w:val="0"/>
          <w:bCs/>
          <w:color w:val="000000"/>
          <w:sz w:val="32"/>
          <w:szCs w:val="32"/>
        </w:rPr>
      </w:pPr>
      <w:r>
        <w:rPr>
          <w:rStyle w:val="16"/>
          <w:rFonts w:hint="eastAsia" w:ascii="仿宋" w:hAnsi="仿宋" w:eastAsia="仿宋"/>
          <w:b w:val="0"/>
          <w:bCs/>
          <w:color w:val="000000"/>
          <w:sz w:val="32"/>
          <w:szCs w:val="32"/>
        </w:rPr>
        <w:t>2.公共安全（204）司法（04）一般行政事务管理（02）:</w:t>
      </w:r>
      <w:r>
        <w:rPr>
          <w:rStyle w:val="16"/>
          <w:rFonts w:hint="eastAsia" w:ascii="仿宋_GB2312" w:eastAsia="仿宋_GB2312"/>
          <w:b w:val="0"/>
          <w:bCs/>
          <w:color w:val="000000"/>
          <w:sz w:val="32"/>
          <w:szCs w:val="32"/>
        </w:rPr>
        <w:t>支出决算为</w:t>
      </w:r>
      <w:r>
        <w:rPr>
          <w:rStyle w:val="16"/>
          <w:rFonts w:hint="eastAsia" w:ascii="仿宋_GB2312" w:eastAsia="仿宋_GB2312"/>
          <w:b w:val="0"/>
          <w:bCs/>
          <w:color w:val="000000"/>
          <w:sz w:val="32"/>
          <w:szCs w:val="32"/>
          <w:lang w:val="en-US" w:eastAsia="zh-CN"/>
        </w:rPr>
        <w:t>285.68</w:t>
      </w:r>
      <w:r>
        <w:rPr>
          <w:rStyle w:val="16"/>
          <w:rFonts w:hint="eastAsia" w:ascii="仿宋_GB2312" w:eastAsia="仿宋_GB2312"/>
          <w:b w:val="0"/>
          <w:bCs/>
          <w:color w:val="000000"/>
          <w:sz w:val="32"/>
          <w:szCs w:val="32"/>
        </w:rPr>
        <w:t>万元，完成预算100%。</w:t>
      </w:r>
    </w:p>
    <w:p>
      <w:pPr>
        <w:spacing w:line="600" w:lineRule="exact"/>
        <w:ind w:firstLine="640" w:firstLineChars="200"/>
        <w:rPr>
          <w:rStyle w:val="16"/>
          <w:rFonts w:ascii="仿宋_GB2312" w:eastAsia="仿宋_GB2312"/>
          <w:b w:val="0"/>
          <w:bCs/>
          <w:color w:val="000000"/>
          <w:sz w:val="32"/>
          <w:szCs w:val="32"/>
        </w:rPr>
      </w:pPr>
      <w:r>
        <w:rPr>
          <w:rStyle w:val="16"/>
          <w:rFonts w:hint="eastAsia" w:ascii="仿宋" w:hAnsi="仿宋" w:eastAsia="仿宋"/>
          <w:b w:val="0"/>
          <w:bCs/>
          <w:color w:val="000000"/>
          <w:sz w:val="32"/>
          <w:szCs w:val="32"/>
        </w:rPr>
        <w:t>3. 社会保障和就业（208）行政事业单位离退休（05）  机关事业单位基本养老保险缴费支出（05）:</w:t>
      </w:r>
      <w:r>
        <w:rPr>
          <w:rStyle w:val="16"/>
          <w:rFonts w:hint="eastAsia" w:ascii="仿宋_GB2312" w:eastAsia="仿宋_GB2312"/>
          <w:b w:val="0"/>
          <w:bCs/>
          <w:color w:val="000000"/>
          <w:sz w:val="32"/>
          <w:szCs w:val="32"/>
        </w:rPr>
        <w:t xml:space="preserve"> 支出决算为</w:t>
      </w:r>
      <w:r>
        <w:rPr>
          <w:rStyle w:val="16"/>
          <w:rFonts w:hint="eastAsia" w:ascii="仿宋_GB2312" w:eastAsia="仿宋_GB2312"/>
          <w:b w:val="0"/>
          <w:bCs/>
          <w:color w:val="000000"/>
          <w:sz w:val="32"/>
          <w:szCs w:val="32"/>
          <w:lang w:val="en-US" w:eastAsia="zh-CN"/>
        </w:rPr>
        <w:t>128.64</w:t>
      </w:r>
      <w:r>
        <w:rPr>
          <w:rStyle w:val="16"/>
          <w:rFonts w:hint="eastAsia" w:ascii="仿宋_GB2312" w:eastAsia="仿宋_GB2312"/>
          <w:b w:val="0"/>
          <w:bCs/>
          <w:color w:val="000000"/>
          <w:sz w:val="32"/>
          <w:szCs w:val="32"/>
        </w:rPr>
        <w:t>万元，完成预算100%。</w:t>
      </w:r>
    </w:p>
    <w:p>
      <w:pPr>
        <w:spacing w:line="600" w:lineRule="exact"/>
        <w:ind w:firstLine="640" w:firstLineChars="200"/>
        <w:rPr>
          <w:rStyle w:val="16"/>
          <w:rFonts w:ascii="仿宋_GB2312" w:eastAsia="仿宋_GB2312"/>
          <w:b w:val="0"/>
          <w:bCs/>
          <w:color w:val="000000"/>
          <w:sz w:val="32"/>
          <w:szCs w:val="32"/>
        </w:rPr>
      </w:pPr>
      <w:r>
        <w:rPr>
          <w:rStyle w:val="16"/>
          <w:rFonts w:hint="eastAsia" w:ascii="仿宋" w:hAnsi="仿宋" w:eastAsia="仿宋"/>
          <w:b w:val="0"/>
          <w:bCs/>
          <w:color w:val="000000"/>
          <w:sz w:val="32"/>
          <w:szCs w:val="32"/>
        </w:rPr>
        <w:t>4. 社会保障和就业（208）行政事业单位离退休（05）    机关事业单位职业年金缴费支出（06）</w:t>
      </w:r>
      <w:r>
        <w:rPr>
          <w:rStyle w:val="16"/>
          <w:rFonts w:hint="eastAsia" w:ascii="仿宋_GB2312" w:eastAsia="仿宋_GB2312"/>
          <w:b w:val="0"/>
          <w:bCs/>
          <w:color w:val="000000"/>
          <w:sz w:val="32"/>
          <w:szCs w:val="32"/>
        </w:rPr>
        <w:t>: 支出决算为</w:t>
      </w:r>
      <w:r>
        <w:rPr>
          <w:rStyle w:val="16"/>
          <w:rFonts w:hint="eastAsia" w:ascii="仿宋_GB2312" w:eastAsia="仿宋_GB2312"/>
          <w:b w:val="0"/>
          <w:bCs/>
          <w:color w:val="000000"/>
          <w:sz w:val="32"/>
          <w:szCs w:val="32"/>
          <w:lang w:val="en-US" w:eastAsia="zh-CN"/>
        </w:rPr>
        <w:t>76.69</w:t>
      </w:r>
      <w:r>
        <w:rPr>
          <w:rStyle w:val="16"/>
          <w:rFonts w:hint="eastAsia" w:ascii="仿宋_GB2312" w:eastAsia="仿宋_GB2312"/>
          <w:b w:val="0"/>
          <w:bCs/>
          <w:color w:val="000000"/>
          <w:sz w:val="32"/>
          <w:szCs w:val="32"/>
        </w:rPr>
        <w:t>万元，完成预算100%。</w:t>
      </w:r>
    </w:p>
    <w:p>
      <w:pPr>
        <w:spacing w:line="600" w:lineRule="exact"/>
        <w:ind w:firstLine="640" w:firstLineChars="200"/>
        <w:rPr>
          <w:rStyle w:val="16"/>
          <w:rFonts w:ascii="仿宋_GB2312" w:eastAsia="仿宋_GB2312"/>
          <w:b w:val="0"/>
          <w:bCs/>
          <w:color w:val="000000"/>
          <w:sz w:val="32"/>
          <w:szCs w:val="32"/>
        </w:rPr>
      </w:pPr>
      <w:r>
        <w:rPr>
          <w:rStyle w:val="16"/>
          <w:rFonts w:hint="eastAsia" w:ascii="仿宋" w:hAnsi="仿宋" w:eastAsia="仿宋"/>
          <w:b w:val="0"/>
          <w:bCs/>
          <w:color w:val="000000"/>
          <w:sz w:val="32"/>
          <w:szCs w:val="32"/>
        </w:rPr>
        <w:t>5. 医疗卫生与计划生育（210）行政事业单位医疗（11）  行政单位医疗（01）:</w:t>
      </w:r>
      <w:r>
        <w:rPr>
          <w:rStyle w:val="16"/>
          <w:rFonts w:hint="eastAsia" w:ascii="仿宋_GB2312" w:eastAsia="仿宋_GB2312"/>
          <w:b w:val="0"/>
          <w:bCs/>
          <w:color w:val="000000"/>
          <w:sz w:val="32"/>
          <w:szCs w:val="32"/>
        </w:rPr>
        <w:t>支出决算为</w:t>
      </w:r>
      <w:r>
        <w:rPr>
          <w:rStyle w:val="16"/>
          <w:rFonts w:hint="eastAsia" w:ascii="仿宋_GB2312" w:eastAsia="仿宋_GB2312"/>
          <w:b w:val="0"/>
          <w:bCs/>
          <w:color w:val="000000"/>
          <w:sz w:val="32"/>
          <w:szCs w:val="32"/>
          <w:lang w:val="en-US" w:eastAsia="zh-CN"/>
        </w:rPr>
        <w:t>85.35</w:t>
      </w:r>
      <w:r>
        <w:rPr>
          <w:rStyle w:val="16"/>
          <w:rFonts w:hint="eastAsia" w:ascii="仿宋_GB2312" w:eastAsia="仿宋_GB2312"/>
          <w:b w:val="0"/>
          <w:bCs/>
          <w:color w:val="000000"/>
          <w:sz w:val="32"/>
          <w:szCs w:val="32"/>
        </w:rPr>
        <w:t>万元，完成预算100%。</w:t>
      </w:r>
    </w:p>
    <w:p>
      <w:pPr>
        <w:spacing w:line="600" w:lineRule="exact"/>
        <w:ind w:left="643"/>
        <w:rPr>
          <w:rStyle w:val="16"/>
          <w:rFonts w:ascii="仿宋_GB2312" w:eastAsia="仿宋_GB2312"/>
          <w:b w:val="0"/>
          <w:bCs/>
          <w:color w:val="000000"/>
          <w:sz w:val="32"/>
          <w:szCs w:val="32"/>
        </w:rPr>
      </w:pPr>
      <w:r>
        <w:rPr>
          <w:rStyle w:val="16"/>
          <w:rFonts w:hint="eastAsia" w:ascii="仿宋" w:hAnsi="仿宋" w:eastAsia="仿宋"/>
          <w:b w:val="0"/>
          <w:bCs/>
          <w:color w:val="000000"/>
          <w:sz w:val="32"/>
          <w:szCs w:val="32"/>
        </w:rPr>
        <w:t>6.医疗卫生与计划生育（210）行政事业单位医疗（11）  公务员医疗补助（03）:</w:t>
      </w:r>
      <w:r>
        <w:rPr>
          <w:rStyle w:val="16"/>
          <w:rFonts w:hint="eastAsia" w:ascii="仿宋_GB2312" w:eastAsia="仿宋_GB2312"/>
          <w:b w:val="0"/>
          <w:bCs/>
          <w:color w:val="000000"/>
          <w:sz w:val="32"/>
          <w:szCs w:val="32"/>
        </w:rPr>
        <w:t>支出决算为</w:t>
      </w:r>
      <w:r>
        <w:rPr>
          <w:rStyle w:val="16"/>
          <w:rFonts w:hint="eastAsia" w:ascii="仿宋_GB2312" w:eastAsia="仿宋_GB2312"/>
          <w:b w:val="0"/>
          <w:bCs/>
          <w:color w:val="000000"/>
          <w:sz w:val="32"/>
          <w:szCs w:val="32"/>
          <w:lang w:val="en-US" w:eastAsia="zh-CN"/>
        </w:rPr>
        <w:t>15.57</w:t>
      </w:r>
      <w:r>
        <w:rPr>
          <w:rStyle w:val="16"/>
          <w:rFonts w:hint="eastAsia" w:ascii="仿宋_GB2312" w:eastAsia="仿宋_GB2312"/>
          <w:b w:val="0"/>
          <w:bCs/>
          <w:color w:val="000000"/>
          <w:sz w:val="32"/>
          <w:szCs w:val="32"/>
        </w:rPr>
        <w:t>万元，完成预算100%。</w:t>
      </w:r>
    </w:p>
    <w:p>
      <w:pPr>
        <w:spacing w:line="600" w:lineRule="exact"/>
        <w:ind w:firstLine="640"/>
        <w:rPr>
          <w:rFonts w:ascii="仿宋" w:hAnsi="仿宋" w:eastAsia="仿宋"/>
          <w:b w:val="0"/>
          <w:bCs/>
          <w:color w:val="000000"/>
          <w:sz w:val="32"/>
          <w:szCs w:val="32"/>
        </w:rPr>
      </w:pPr>
      <w:r>
        <w:rPr>
          <w:rStyle w:val="16"/>
          <w:rFonts w:hint="eastAsia" w:ascii="仿宋" w:hAnsi="仿宋" w:eastAsia="仿宋"/>
          <w:b w:val="0"/>
          <w:bCs/>
          <w:color w:val="000000"/>
          <w:sz w:val="32"/>
          <w:szCs w:val="32"/>
        </w:rPr>
        <w:t>7.住房保障支出（221）住房改革支出（02）住房公积金（01）:</w:t>
      </w:r>
      <w:r>
        <w:rPr>
          <w:rStyle w:val="16"/>
          <w:rFonts w:hint="eastAsia" w:ascii="仿宋_GB2312" w:eastAsia="仿宋_GB2312"/>
          <w:b w:val="0"/>
          <w:bCs/>
          <w:color w:val="000000"/>
          <w:sz w:val="32"/>
          <w:szCs w:val="32"/>
        </w:rPr>
        <w:t>支出决算为</w:t>
      </w:r>
      <w:r>
        <w:rPr>
          <w:rStyle w:val="16"/>
          <w:rFonts w:hint="eastAsia" w:ascii="仿宋_GB2312" w:eastAsia="仿宋_GB2312"/>
          <w:b w:val="0"/>
          <w:bCs/>
          <w:color w:val="000000"/>
          <w:sz w:val="32"/>
          <w:szCs w:val="32"/>
          <w:lang w:val="en-US" w:eastAsia="zh-CN"/>
        </w:rPr>
        <w:t>145.55</w:t>
      </w:r>
      <w:r>
        <w:rPr>
          <w:rStyle w:val="16"/>
          <w:rFonts w:hint="eastAsia" w:ascii="仿宋_GB2312" w:eastAsia="仿宋_GB2312"/>
          <w:b w:val="0"/>
          <w:bCs/>
          <w:color w:val="000000"/>
          <w:sz w:val="32"/>
          <w:szCs w:val="32"/>
        </w:rPr>
        <w:t xml:space="preserve">万元，完成预算100%。  </w:t>
      </w:r>
    </w:p>
    <w:p>
      <w:pPr>
        <w:tabs>
          <w:tab w:val="right" w:pos="8306"/>
        </w:tabs>
        <w:spacing w:line="600" w:lineRule="exact"/>
        <w:ind w:firstLine="640"/>
        <w:outlineLvl w:val="1"/>
        <w:rPr>
          <w:rStyle w:val="27"/>
        </w:rPr>
      </w:pPr>
      <w:bookmarkStart w:id="36" w:name="_Toc15396608"/>
      <w:bookmarkStart w:id="37"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36"/>
      <w:bookmarkEnd w:id="37"/>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年一般公共预算财政拨款基本支出2483</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6</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1970.72</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362.59</w:t>
      </w:r>
      <w:r>
        <w:rPr>
          <w:rFonts w:hint="eastAsia" w:ascii="仿宋" w:hAnsi="仿宋" w:eastAsia="仿宋"/>
          <w:color w:val="000000"/>
          <w:sz w:val="32"/>
          <w:szCs w:val="32"/>
        </w:rPr>
        <w:t>万元、津贴补贴</w:t>
      </w:r>
      <w:r>
        <w:rPr>
          <w:rFonts w:hint="eastAsia" w:ascii="仿宋" w:hAnsi="仿宋" w:eastAsia="仿宋"/>
          <w:color w:val="000000"/>
          <w:sz w:val="32"/>
          <w:szCs w:val="32"/>
          <w:lang w:val="en-US" w:eastAsia="zh-CN"/>
        </w:rPr>
        <w:t>791.79</w:t>
      </w:r>
      <w:r>
        <w:rPr>
          <w:rFonts w:hint="eastAsia" w:ascii="仿宋" w:hAnsi="仿宋" w:eastAsia="仿宋"/>
          <w:color w:val="000000"/>
          <w:sz w:val="32"/>
          <w:szCs w:val="32"/>
        </w:rPr>
        <w:t>万元、奖金</w:t>
      </w:r>
      <w:r>
        <w:rPr>
          <w:rFonts w:hint="eastAsia" w:ascii="仿宋" w:hAnsi="仿宋" w:eastAsia="仿宋"/>
          <w:color w:val="000000"/>
          <w:sz w:val="32"/>
          <w:szCs w:val="32"/>
          <w:lang w:val="en-US" w:eastAsia="zh-CN"/>
        </w:rPr>
        <w:t>212.99</w:t>
      </w:r>
      <w:r>
        <w:rPr>
          <w:rFonts w:hint="eastAsia" w:ascii="仿宋" w:hAnsi="仿宋" w:eastAsia="仿宋"/>
          <w:color w:val="000000"/>
          <w:sz w:val="32"/>
          <w:szCs w:val="32"/>
        </w:rPr>
        <w:t>万元、伙食补助费</w:t>
      </w:r>
      <w:r>
        <w:rPr>
          <w:rFonts w:hint="eastAsia" w:ascii="仿宋" w:hAnsi="仿宋" w:eastAsia="仿宋"/>
          <w:color w:val="000000"/>
          <w:sz w:val="32"/>
          <w:szCs w:val="32"/>
          <w:lang w:val="en-US" w:eastAsia="zh-CN"/>
        </w:rPr>
        <w:t>23.37</w:t>
      </w:r>
      <w:r>
        <w:rPr>
          <w:rFonts w:hint="eastAsia" w:ascii="仿宋" w:hAnsi="仿宋" w:eastAsia="仿宋"/>
          <w:color w:val="000000"/>
          <w:sz w:val="32"/>
          <w:szCs w:val="32"/>
        </w:rPr>
        <w:t>万元、机关事业单位基本养老保险缴费</w:t>
      </w:r>
      <w:r>
        <w:rPr>
          <w:rFonts w:hint="eastAsia" w:ascii="仿宋" w:hAnsi="仿宋" w:eastAsia="仿宋"/>
          <w:color w:val="000000"/>
          <w:sz w:val="32"/>
          <w:szCs w:val="32"/>
          <w:lang w:val="en-US" w:eastAsia="zh-CN"/>
        </w:rPr>
        <w:t>128.64</w:t>
      </w:r>
      <w:r>
        <w:rPr>
          <w:rFonts w:hint="eastAsia" w:ascii="仿宋" w:hAnsi="仿宋" w:eastAsia="仿宋"/>
          <w:color w:val="000000"/>
          <w:sz w:val="32"/>
          <w:szCs w:val="32"/>
        </w:rPr>
        <w:t>万元、职业年金缴费</w:t>
      </w:r>
      <w:r>
        <w:rPr>
          <w:rFonts w:hint="eastAsia" w:ascii="仿宋" w:hAnsi="仿宋" w:eastAsia="仿宋"/>
          <w:color w:val="000000"/>
          <w:sz w:val="32"/>
          <w:szCs w:val="32"/>
          <w:lang w:val="en-US" w:eastAsia="zh-CN"/>
        </w:rPr>
        <w:t>76.69</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职工基本医疗保险缴费85.35万元，公务员医疗补助缴费15.57万元，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3.03</w:t>
      </w:r>
      <w:r>
        <w:rPr>
          <w:rFonts w:hint="eastAsia" w:ascii="仿宋" w:hAnsi="仿宋" w:eastAsia="仿宋"/>
          <w:color w:val="000000"/>
          <w:sz w:val="32"/>
          <w:szCs w:val="32"/>
        </w:rPr>
        <w:t>万元、其他工资福利支出</w:t>
      </w:r>
      <w:r>
        <w:rPr>
          <w:rFonts w:hint="eastAsia" w:ascii="仿宋" w:hAnsi="仿宋" w:eastAsia="仿宋"/>
          <w:color w:val="000000"/>
          <w:sz w:val="32"/>
          <w:szCs w:val="32"/>
          <w:lang w:val="en-US" w:eastAsia="zh-CN"/>
        </w:rPr>
        <w:t>12.27</w:t>
      </w:r>
      <w:r>
        <w:rPr>
          <w:rFonts w:hint="eastAsia" w:ascii="仿宋" w:hAnsi="仿宋" w:eastAsia="仿宋"/>
          <w:color w:val="000000"/>
          <w:sz w:val="32"/>
          <w:szCs w:val="32"/>
        </w:rPr>
        <w:t>万元、离休费</w:t>
      </w:r>
      <w:r>
        <w:rPr>
          <w:rFonts w:hint="eastAsia" w:ascii="仿宋" w:hAnsi="仿宋" w:eastAsia="仿宋"/>
          <w:color w:val="000000"/>
          <w:sz w:val="32"/>
          <w:szCs w:val="32"/>
          <w:lang w:val="en-US" w:eastAsia="zh-CN"/>
        </w:rPr>
        <w:t>31.28</w:t>
      </w:r>
      <w:r>
        <w:rPr>
          <w:rFonts w:hint="eastAsia" w:ascii="仿宋" w:hAnsi="仿宋" w:eastAsia="仿宋"/>
          <w:color w:val="000000"/>
          <w:sz w:val="32"/>
          <w:szCs w:val="32"/>
        </w:rPr>
        <w:t>万元、生活补助</w:t>
      </w:r>
      <w:r>
        <w:rPr>
          <w:rFonts w:hint="eastAsia" w:ascii="仿宋" w:hAnsi="仿宋" w:eastAsia="仿宋"/>
          <w:color w:val="000000"/>
          <w:sz w:val="32"/>
          <w:szCs w:val="32"/>
          <w:lang w:val="en-US" w:eastAsia="zh-CN"/>
        </w:rPr>
        <w:t>74.21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医疗费补助2.74万元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143.35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住房补贴2.2万元</w:t>
      </w:r>
      <w:r>
        <w:rPr>
          <w:rFonts w:hint="eastAsia" w:ascii="仿宋" w:hAnsi="仿宋" w:eastAsia="仿宋"/>
          <w:color w:val="000000"/>
          <w:sz w:val="32"/>
          <w:szCs w:val="32"/>
        </w:rPr>
        <w:t>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512.97</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55.53</w:t>
      </w:r>
      <w:r>
        <w:rPr>
          <w:rFonts w:hint="eastAsia" w:ascii="仿宋" w:hAnsi="仿宋" w:eastAsia="仿宋"/>
          <w:color w:val="000000"/>
          <w:sz w:val="32"/>
          <w:szCs w:val="32"/>
        </w:rPr>
        <w:t>万元、手续费</w:t>
      </w:r>
      <w:r>
        <w:rPr>
          <w:rFonts w:hint="eastAsia" w:ascii="仿宋" w:hAnsi="仿宋" w:eastAsia="仿宋"/>
          <w:color w:val="000000"/>
          <w:sz w:val="32"/>
          <w:szCs w:val="32"/>
          <w:lang w:val="en-US" w:eastAsia="zh-CN"/>
        </w:rPr>
        <w:t>0.3</w:t>
      </w:r>
      <w:r>
        <w:rPr>
          <w:rFonts w:hint="eastAsia" w:ascii="仿宋" w:hAnsi="仿宋" w:eastAsia="仿宋"/>
          <w:color w:val="000000"/>
          <w:sz w:val="32"/>
          <w:szCs w:val="32"/>
        </w:rPr>
        <w:t>万元、印刷费</w:t>
      </w:r>
      <w:r>
        <w:rPr>
          <w:rFonts w:hint="eastAsia" w:ascii="仿宋" w:hAnsi="仿宋" w:eastAsia="仿宋"/>
          <w:color w:val="000000"/>
          <w:sz w:val="32"/>
          <w:szCs w:val="32"/>
          <w:lang w:val="en-US" w:eastAsia="zh-CN"/>
        </w:rPr>
        <w:t>6.58</w:t>
      </w:r>
      <w:r>
        <w:rPr>
          <w:rFonts w:hint="eastAsia" w:ascii="仿宋" w:hAnsi="仿宋" w:eastAsia="仿宋"/>
          <w:color w:val="000000"/>
          <w:sz w:val="32"/>
          <w:szCs w:val="32"/>
        </w:rPr>
        <w:t>万元、水费</w:t>
      </w:r>
      <w:r>
        <w:rPr>
          <w:rFonts w:hint="eastAsia" w:ascii="仿宋" w:hAnsi="仿宋" w:eastAsia="仿宋"/>
          <w:color w:val="000000"/>
          <w:sz w:val="32"/>
          <w:szCs w:val="32"/>
          <w:lang w:val="en-US" w:eastAsia="zh-CN"/>
        </w:rPr>
        <w:t>3.84</w:t>
      </w:r>
      <w:r>
        <w:rPr>
          <w:rFonts w:hint="eastAsia" w:ascii="仿宋" w:hAnsi="仿宋" w:eastAsia="仿宋"/>
          <w:color w:val="000000"/>
          <w:sz w:val="32"/>
          <w:szCs w:val="32"/>
        </w:rPr>
        <w:t>万元、电费</w:t>
      </w:r>
      <w:r>
        <w:rPr>
          <w:rFonts w:hint="eastAsia" w:ascii="仿宋" w:hAnsi="仿宋" w:eastAsia="仿宋"/>
          <w:color w:val="000000"/>
          <w:sz w:val="32"/>
          <w:szCs w:val="32"/>
          <w:lang w:val="en-US" w:eastAsia="zh-CN"/>
        </w:rPr>
        <w:t>53.14</w:t>
      </w:r>
      <w:r>
        <w:rPr>
          <w:rFonts w:hint="eastAsia" w:ascii="仿宋" w:hAnsi="仿宋" w:eastAsia="仿宋"/>
          <w:color w:val="000000"/>
          <w:sz w:val="32"/>
          <w:szCs w:val="32"/>
        </w:rPr>
        <w:t>万元、邮电费</w:t>
      </w:r>
      <w:r>
        <w:rPr>
          <w:rFonts w:hint="eastAsia" w:ascii="仿宋" w:hAnsi="仿宋" w:eastAsia="仿宋"/>
          <w:color w:val="000000"/>
          <w:sz w:val="32"/>
          <w:szCs w:val="32"/>
          <w:lang w:val="en-US" w:eastAsia="zh-CN"/>
        </w:rPr>
        <w:t>26.44</w:t>
      </w:r>
      <w:r>
        <w:rPr>
          <w:rFonts w:hint="eastAsia" w:ascii="仿宋" w:hAnsi="仿宋" w:eastAsia="仿宋"/>
          <w:color w:val="000000"/>
          <w:sz w:val="32"/>
          <w:szCs w:val="32"/>
        </w:rPr>
        <w:t>万元、物业管理费</w:t>
      </w:r>
      <w:r>
        <w:rPr>
          <w:rFonts w:hint="eastAsia" w:ascii="仿宋" w:hAnsi="仿宋" w:eastAsia="仿宋"/>
          <w:color w:val="000000"/>
          <w:sz w:val="32"/>
          <w:szCs w:val="32"/>
          <w:lang w:val="en-US" w:eastAsia="zh-CN"/>
        </w:rPr>
        <w:t>48.31</w:t>
      </w:r>
      <w:r>
        <w:rPr>
          <w:rFonts w:hint="eastAsia" w:ascii="仿宋" w:hAnsi="仿宋" w:eastAsia="仿宋"/>
          <w:color w:val="000000"/>
          <w:sz w:val="32"/>
          <w:szCs w:val="32"/>
        </w:rPr>
        <w:t>万元、差旅费</w:t>
      </w:r>
      <w:r>
        <w:rPr>
          <w:rFonts w:hint="eastAsia" w:ascii="仿宋" w:hAnsi="仿宋" w:eastAsia="仿宋"/>
          <w:color w:val="000000"/>
          <w:sz w:val="32"/>
          <w:szCs w:val="32"/>
          <w:lang w:val="en-US" w:eastAsia="zh-CN"/>
        </w:rPr>
        <w:t>110.49</w:t>
      </w:r>
      <w:r>
        <w:rPr>
          <w:rFonts w:hint="eastAsia" w:ascii="仿宋" w:hAnsi="仿宋" w:eastAsia="仿宋"/>
          <w:color w:val="000000"/>
          <w:sz w:val="32"/>
          <w:szCs w:val="32"/>
        </w:rPr>
        <w:t>万元、维修（护）费</w:t>
      </w:r>
      <w:r>
        <w:rPr>
          <w:rFonts w:hint="eastAsia" w:ascii="仿宋" w:hAnsi="仿宋" w:eastAsia="仿宋"/>
          <w:color w:val="000000"/>
          <w:sz w:val="32"/>
          <w:szCs w:val="32"/>
          <w:lang w:val="en-US" w:eastAsia="zh-CN"/>
        </w:rPr>
        <w:t>87.17</w:t>
      </w:r>
      <w:r>
        <w:rPr>
          <w:rFonts w:hint="eastAsia" w:ascii="仿宋" w:hAnsi="仿宋" w:eastAsia="仿宋"/>
          <w:color w:val="000000"/>
          <w:sz w:val="32"/>
          <w:szCs w:val="32"/>
        </w:rPr>
        <w:t>4万元、会议费</w:t>
      </w:r>
      <w:r>
        <w:rPr>
          <w:rFonts w:hint="eastAsia" w:ascii="仿宋" w:hAnsi="仿宋" w:eastAsia="仿宋"/>
          <w:color w:val="000000"/>
          <w:sz w:val="32"/>
          <w:szCs w:val="32"/>
          <w:lang w:val="en-US" w:eastAsia="zh-CN"/>
        </w:rPr>
        <w:t>0.73</w:t>
      </w:r>
      <w:r>
        <w:rPr>
          <w:rFonts w:hint="eastAsia" w:ascii="仿宋" w:hAnsi="仿宋" w:eastAsia="仿宋"/>
          <w:color w:val="000000"/>
          <w:sz w:val="32"/>
          <w:szCs w:val="32"/>
        </w:rPr>
        <w:t>万元、培训费</w:t>
      </w:r>
      <w:r>
        <w:rPr>
          <w:rFonts w:hint="eastAsia" w:ascii="仿宋" w:hAnsi="仿宋" w:eastAsia="仿宋"/>
          <w:color w:val="000000"/>
          <w:sz w:val="32"/>
          <w:szCs w:val="32"/>
          <w:lang w:val="en-US" w:eastAsia="zh-CN"/>
        </w:rPr>
        <w:t>32.23</w:t>
      </w:r>
      <w:r>
        <w:rPr>
          <w:rFonts w:hint="eastAsia" w:ascii="仿宋" w:hAnsi="仿宋" w:eastAsia="仿宋"/>
          <w:color w:val="000000"/>
          <w:sz w:val="32"/>
          <w:szCs w:val="32"/>
        </w:rPr>
        <w:t>万元、公务接待费</w:t>
      </w:r>
      <w:r>
        <w:rPr>
          <w:rFonts w:hint="eastAsia" w:ascii="仿宋" w:hAnsi="仿宋" w:eastAsia="仿宋"/>
          <w:color w:val="000000"/>
          <w:sz w:val="32"/>
          <w:szCs w:val="32"/>
          <w:lang w:val="en-US" w:eastAsia="zh-CN"/>
        </w:rPr>
        <w:t>2.16</w:t>
      </w:r>
      <w:r>
        <w:rPr>
          <w:rFonts w:hint="eastAsia" w:ascii="仿宋" w:hAnsi="仿宋" w:eastAsia="仿宋"/>
          <w:color w:val="000000"/>
          <w:sz w:val="32"/>
          <w:szCs w:val="32"/>
        </w:rPr>
        <w:t>万元、劳务费</w:t>
      </w:r>
      <w:r>
        <w:rPr>
          <w:rFonts w:hint="eastAsia" w:ascii="仿宋" w:hAnsi="仿宋" w:eastAsia="仿宋"/>
          <w:color w:val="000000"/>
          <w:sz w:val="32"/>
          <w:szCs w:val="32"/>
          <w:lang w:val="en-US" w:eastAsia="zh-CN"/>
        </w:rPr>
        <w:t>3.37</w:t>
      </w:r>
      <w:r>
        <w:rPr>
          <w:rFonts w:hint="eastAsia" w:ascii="仿宋" w:hAnsi="仿宋" w:eastAsia="仿宋"/>
          <w:color w:val="000000"/>
          <w:sz w:val="32"/>
          <w:szCs w:val="32"/>
        </w:rPr>
        <w:t>万元、公务用车运行维护费</w:t>
      </w:r>
      <w:r>
        <w:rPr>
          <w:rFonts w:hint="eastAsia" w:ascii="仿宋" w:hAnsi="仿宋" w:eastAsia="仿宋"/>
          <w:color w:val="000000"/>
          <w:sz w:val="32"/>
          <w:szCs w:val="32"/>
          <w:lang w:val="en-US" w:eastAsia="zh-CN"/>
        </w:rPr>
        <w:t>64.88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其他商品和服务支出11.3</w:t>
      </w:r>
      <w:r>
        <w:rPr>
          <w:rFonts w:hint="eastAsia" w:ascii="仿宋" w:hAnsi="仿宋" w:eastAsia="仿宋"/>
          <w:color w:val="000000"/>
          <w:sz w:val="32"/>
          <w:szCs w:val="32"/>
        </w:rPr>
        <w:t>万元。</w:t>
      </w:r>
    </w:p>
    <w:p>
      <w:pPr>
        <w:spacing w:line="600" w:lineRule="exact"/>
        <w:ind w:firstLine="640"/>
        <w:outlineLvl w:val="1"/>
        <w:rPr>
          <w:rFonts w:ascii="黑体" w:hAnsi="黑体" w:eastAsia="黑体" w:cstheme="majorBidi"/>
          <w:bCs/>
          <w:sz w:val="32"/>
          <w:szCs w:val="32"/>
        </w:rPr>
      </w:pPr>
      <w:bookmarkStart w:id="38" w:name="_Toc15377215"/>
      <w:bookmarkStart w:id="39" w:name="_Toc1539660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38"/>
      <w:bookmarkEnd w:id="39"/>
      <w:bookmarkStart w:id="40" w:name="_Toc15377216"/>
    </w:p>
    <w:p>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（一）“三公”经费财政拨款支出决算总体情况说明</w:t>
      </w:r>
      <w:bookmarkEnd w:id="4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119.46</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，与预算数持平。</w:t>
      </w:r>
    </w:p>
    <w:p>
      <w:pPr>
        <w:spacing w:line="600" w:lineRule="exact"/>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（二）“三公”经费财政拨款支出决算具体情况说明</w:t>
      </w:r>
      <w:bookmarkEnd w:id="4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117.3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98.2</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2.16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1.8</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74624" behindDoc="0" locked="0" layoutInCell="1" allowOverlap="1">
            <wp:simplePos x="0" y="0"/>
            <wp:positionH relativeFrom="column">
              <wp:posOffset>415290</wp:posOffset>
            </wp:positionH>
            <wp:positionV relativeFrom="paragraph">
              <wp:posOffset>266700</wp:posOffset>
            </wp:positionV>
            <wp:extent cx="4385310" cy="2087880"/>
            <wp:effectExtent l="19050" t="0" r="15240" b="7620"/>
            <wp:wrapTopAndBottom/>
            <wp:docPr id="3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000000"/>
          <w:sz w:val="32"/>
          <w:szCs w:val="32"/>
        </w:rPr>
        <w:t>（图8：“三公”经费财政拨款支出结构）（饼状图）</w:t>
      </w:r>
    </w:p>
    <w:p>
      <w:pPr>
        <w:numPr>
          <w:ilvl w:val="0"/>
          <w:numId w:val="3"/>
        </w:num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Cs/>
          <w:color w:val="000000"/>
          <w:sz w:val="32"/>
          <w:szCs w:val="32"/>
        </w:rPr>
        <w:t>完成预算100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117.3</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减少155.65</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减少57.3</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2018年购置2车辆特种专业技术用车</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月底，单位共有公务用车2辆，其中：越野车1辆、载客汽车1辆。截至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月底，单位共有执法执勤用车22辆，其中轿车9辆、越野车12辆、载客汽车1辆。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117.3</w:t>
      </w:r>
      <w:r>
        <w:rPr>
          <w:rFonts w:hint="eastAsia" w:ascii="仿宋_GB2312" w:eastAsia="仿宋_GB2312"/>
          <w:color w:val="000000"/>
          <w:sz w:val="32"/>
          <w:szCs w:val="32"/>
        </w:rPr>
        <w:t>万元。主要用于</w:t>
      </w:r>
      <w:r>
        <w:rPr>
          <w:rFonts w:ascii="仿宋_GB2312" w:eastAsia="仿宋_GB2312"/>
          <w:color w:val="000000"/>
          <w:sz w:val="32"/>
          <w:szCs w:val="32"/>
        </w:rPr>
        <w:t>执法办案</w:t>
      </w:r>
      <w:r>
        <w:rPr>
          <w:rFonts w:hint="eastAsia" w:ascii="仿宋_GB2312" w:eastAsia="仿宋_GB2312"/>
          <w:color w:val="000000"/>
          <w:sz w:val="32"/>
          <w:szCs w:val="32"/>
        </w:rPr>
        <w:t>、检务督察、两联一进联系乡等所需的公务用车燃料费、维修费、过路过桥费、保险费等支出。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2.16</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增加1.03</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上升</w:t>
      </w:r>
      <w:r>
        <w:rPr>
          <w:rFonts w:hint="eastAsia" w:ascii="仿宋_GB2312" w:eastAsia="仿宋_GB2312"/>
          <w:color w:val="000000"/>
          <w:sz w:val="32"/>
          <w:szCs w:val="32"/>
        </w:rPr>
        <w:t>5</w:t>
      </w:r>
      <w:r>
        <w:rPr>
          <w:rFonts w:hint="eastAsia" w:ascii="仿宋_GB2312" w:eastAsia="仿宋_GB2312"/>
          <w:color w:val="000000"/>
          <w:sz w:val="32"/>
          <w:szCs w:val="32"/>
          <w:lang w:val="en-US" w:eastAsia="zh-CN"/>
        </w:rPr>
        <w:t>2.31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1.检察</w:t>
      </w:r>
      <w:r>
        <w:rPr>
          <w:rFonts w:hint="eastAsia" w:ascii="仿宋_GB2312" w:eastAsia="仿宋_GB2312"/>
          <w:color w:val="000000"/>
          <w:sz w:val="32"/>
          <w:szCs w:val="32"/>
        </w:rPr>
        <w:t>业务交流</w:t>
      </w:r>
      <w:r>
        <w:rPr>
          <w:rFonts w:hint="eastAsia" w:ascii="仿宋_GB2312" w:eastAsia="仿宋_GB2312"/>
          <w:color w:val="000000"/>
          <w:sz w:val="32"/>
          <w:szCs w:val="32"/>
          <w:lang w:val="en-US" w:eastAsia="zh-CN"/>
        </w:rPr>
        <w:t>增加；2援藏工作交流</w:t>
      </w:r>
      <w:r>
        <w:rPr>
          <w:rFonts w:hint="eastAsia" w:ascii="仿宋_GB2312" w:eastAsia="仿宋_GB2312"/>
          <w:color w:val="000000"/>
          <w:sz w:val="32"/>
          <w:szCs w:val="32"/>
        </w:rPr>
        <w:t>。</w:t>
      </w:r>
    </w:p>
    <w:p>
      <w:pPr>
        <w:spacing w:line="640" w:lineRule="exact"/>
        <w:ind w:firstLine="64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184</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2.16</w:t>
      </w:r>
      <w:r>
        <w:rPr>
          <w:rFonts w:hint="eastAsia" w:ascii="仿宋_GB2312" w:eastAsia="仿宋_GB2312"/>
          <w:color w:val="000000"/>
          <w:sz w:val="32"/>
          <w:szCs w:val="32"/>
        </w:rPr>
        <w:t>万元，具体内容包括：内江市对口帮扶工作、德阳内江市对口帮扶工作、 绵阳对口帮扶工作、眉山市对口帮扶工作、 省检察院装备科针对司法改革人财物统管进行调研、省检察院检务督察报告、省院控申处办案，省检察院公诉处办案等项目、共计支出接待费1.13万元。其中：无外事接待。</w:t>
      </w:r>
    </w:p>
    <w:p>
      <w:pPr>
        <w:spacing w:line="600" w:lineRule="exact"/>
        <w:ind w:firstLine="640" w:firstLineChars="200"/>
        <w:rPr>
          <w:rFonts w:ascii="仿宋_GB2312" w:eastAsia="仿宋_GB2312"/>
          <w:color w:val="000000"/>
          <w:sz w:val="32"/>
          <w:szCs w:val="32"/>
        </w:rPr>
      </w:pP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 xml:space="preserve"> </w:t>
      </w:r>
      <w:bookmarkStart w:id="42" w:name="_Toc15396610"/>
      <w:bookmarkStart w:id="43" w:name="_Toc15377218"/>
    </w:p>
    <w:p>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年政府性基金预算拨款支出0万元。</w:t>
      </w:r>
    </w:p>
    <w:p>
      <w:pPr>
        <w:numPr>
          <w:ilvl w:val="0"/>
          <w:numId w:val="4"/>
        </w:numPr>
        <w:spacing w:line="600" w:lineRule="exact"/>
        <w:ind w:firstLine="640"/>
        <w:outlineLvl w:val="1"/>
        <w:rPr>
          <w:rStyle w:val="27"/>
          <w:rFonts w:ascii="黑体" w:hAnsi="黑体" w:eastAsia="黑体"/>
          <w:b w:val="0"/>
        </w:rPr>
      </w:pPr>
      <w:bookmarkStart w:id="44" w:name="_Toc15396611"/>
      <w:bookmarkStart w:id="45" w:name="_Toc15377219"/>
      <w:r>
        <w:rPr>
          <w:rStyle w:val="27"/>
          <w:rFonts w:hint="eastAsia" w:ascii="黑体" w:hAnsi="黑体" w:eastAsia="黑体"/>
          <w:b w:val="0"/>
        </w:rPr>
        <w:t>国有资本经营预算支出决算情况说明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年国有资本经营预算拨款支出0万元。</w:t>
      </w:r>
    </w:p>
    <w:p>
      <w:pPr>
        <w:pStyle w:val="25"/>
        <w:numPr>
          <w:ilvl w:val="0"/>
          <w:numId w:val="5"/>
        </w:numPr>
        <w:spacing w:line="580" w:lineRule="exact"/>
        <w:ind w:firstLineChars="0"/>
        <w:rPr>
          <w:rStyle w:val="27"/>
          <w:rFonts w:ascii="黑体" w:hAnsi="黑体" w:eastAsia="黑体"/>
          <w:b w:val="0"/>
        </w:rPr>
      </w:pPr>
      <w:r>
        <w:rPr>
          <w:rStyle w:val="27"/>
          <w:rFonts w:hint="eastAsia" w:ascii="黑体" w:hAnsi="黑体" w:eastAsia="黑体"/>
          <w:b w:val="0"/>
        </w:rPr>
        <w:t>预算绩效情况说明</w:t>
      </w:r>
    </w:p>
    <w:p>
      <w:pPr>
        <w:numPr>
          <w:ilvl w:val="0"/>
          <w:numId w:val="6"/>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bookmarkStart w:id="46" w:name="_Toc15396613"/>
      <w:bookmarkStart w:id="47" w:name="_Toc15377225"/>
      <w:r>
        <w:rPr>
          <w:rFonts w:hint="eastAsia" w:ascii="仿宋_GB2312" w:hAnsi="仿宋_GB2312" w:eastAsia="仿宋_GB2312" w:cs="仿宋_GB2312"/>
          <w:sz w:val="32"/>
          <w:szCs w:val="32"/>
        </w:rPr>
        <w:t>根据预算绩效管理要求，本部门（单位）在年初预算编制阶段，组织对《阿坝检察》印刷费、检察信息化建设软硬件设备维护更新开展了预算事前绩效评估，对11个项目编制了绩效目标，预算执行过程中，选取5个项目开展绩效监控，年终执行完毕后，对1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年部门整体支出开展绩效自评，从评价情况来看项目基本达到年初绩效目标。本部门还自行组织了11个项目绩效评价，从评价情况来看项目基本到达单位自行制定的绩效目标。</w:t>
      </w:r>
    </w:p>
    <w:p>
      <w:pPr>
        <w:numPr>
          <w:ilvl w:val="0"/>
          <w:numId w:val="6"/>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年度部门决算中反映“《阿坝检察》印刷费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检察信息化建设软硬件设备维护更新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全州检察机关涉密信息系统安全保密运维服务费”“人民监督员”“业务经费”等5个项目绩效目标实际完成情况。（本单位部门项目绩效目标个数在5个以上的，选取5个项目进行公开，目标个数在5个以下的，全部进行公开，公开内容包括完成情况综述和完成情况表）。</w:t>
      </w:r>
    </w:p>
    <w:p>
      <w:pPr>
        <w:numPr>
          <w:ilvl w:val="0"/>
          <w:numId w:val="7"/>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《阿坝检察》印刷项目绩效目标完成情况综述。项目全年预算数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万元，完成预算的100%。通过项目实施，《阿坝检察》共出版刊物2期，全州检察机关踊跃投稿，出版刊物共计100余篇。实主要问题：资金支付进度较慢。下一步改进措施：加快资金支付力度。</w:t>
      </w:r>
    </w:p>
    <w:p>
      <w:pPr>
        <w:numPr>
          <w:ilvl w:val="0"/>
          <w:numId w:val="7"/>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察信息化建设软硬件设备维护更新项目绩效目标完成情况综述。项目全年预算数30万元，执行数为19.34万元，完成预算的64.47%。通过项目实施，保障了州检察院各类应用系统设备维护，确保全州检察内网网上办公、办案等系统的正常运行。实主要问题：资金支付进度较慢。下一步改进措施：加快资金支付力度。</w:t>
      </w:r>
    </w:p>
    <w:p>
      <w:pPr>
        <w:numPr>
          <w:ilvl w:val="0"/>
          <w:numId w:val="7"/>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人民监督员工作项目绩效目标完成情况综述。项目全年预算数5万元，执行数为5万元，完成预算的100%。通过项目实施，</w:t>
      </w:r>
      <w:r>
        <w:rPr>
          <w:rFonts w:hint="eastAsia" w:ascii="仿宋_GB2312" w:hAnsi="仿宋_GB2312" w:eastAsia="仿宋_GB2312" w:cs="仿宋_GB2312"/>
          <w:color w:val="000000"/>
          <w:sz w:val="32"/>
          <w:szCs w:val="32"/>
        </w:rPr>
        <w:t>扎实</w:t>
      </w:r>
      <w:r>
        <w:rPr>
          <w:rFonts w:hint="eastAsia" w:ascii="仿宋_GB2312" w:hAnsi="仿宋_GB2312" w:eastAsia="仿宋_GB2312" w:cs="仿宋_GB2312"/>
          <w:sz w:val="32"/>
          <w:szCs w:val="32"/>
        </w:rPr>
        <w:t>推进人民监督员制度建设</w:t>
      </w:r>
      <w:r>
        <w:rPr>
          <w:rFonts w:hint="eastAsia" w:ascii="仿宋_GB2312" w:hAnsi="仿宋_GB2312" w:eastAsia="仿宋_GB2312" w:cs="仿宋_GB2312"/>
          <w:color w:val="000000"/>
          <w:sz w:val="32"/>
          <w:szCs w:val="32"/>
        </w:rPr>
        <w:t>，在201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年我院召开人民监督员和特约检察员工作会议2次，完成全年目标任务数的100%，</w:t>
      </w:r>
    </w:p>
    <w:p>
      <w:pPr>
        <w:pStyle w:val="13"/>
        <w:widowControl/>
        <w:spacing w:line="640" w:lineRule="exact"/>
        <w:ind w:firstLine="627" w:firstLineChars="196"/>
        <w:rPr>
          <w:rFonts w:ascii="仿宋_GB2312" w:hAnsi="宋体" w:eastAsia="仿宋_GB2312" w:cs="宋体"/>
          <w:color w:val="2A2A2A"/>
          <w:sz w:val="32"/>
          <w:szCs w:val="32"/>
        </w:rPr>
      </w:pPr>
      <w:r>
        <w:rPr>
          <w:rFonts w:hint="eastAsia" w:ascii="仿宋_GB2312" w:hAnsi="仿宋_GB2312" w:eastAsia="仿宋_GB2312" w:cs="仿宋_GB2312"/>
          <w:sz w:val="32"/>
          <w:szCs w:val="32"/>
        </w:rPr>
        <w:t>4.“ 派驻检察室信息化建设项目”项目绩效目标完成情况综述。项目全年预算数</w:t>
      </w:r>
      <w:r>
        <w:rPr>
          <w:rFonts w:hint="eastAsia" w:ascii="仿宋_GB2312" w:hAnsi="仿宋_GB2312" w:eastAsia="仿宋_GB2312" w:cs="仿宋_GB2312"/>
          <w:sz w:val="32"/>
          <w:szCs w:val="32"/>
          <w:lang w:val="en-US" w:eastAsia="zh-CN"/>
        </w:rPr>
        <w:t>129.6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119.32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92.07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剩余资金10.28万元为项目质保金将在2年后支付。</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使</w:t>
      </w:r>
      <w:r>
        <w:rPr>
          <w:rFonts w:hint="eastAsia" w:ascii="仿宋_GB2312" w:hAnsi="宋体" w:eastAsia="仿宋_GB2312" w:cs="宋体"/>
          <w:color w:val="2A2A2A"/>
          <w:sz w:val="32"/>
          <w:szCs w:val="32"/>
          <w:lang w:val="en-US" w:eastAsia="zh-CN"/>
        </w:rPr>
        <w:t>我院驻所检察室信息化建设工作</w:t>
      </w:r>
      <w:r>
        <w:rPr>
          <w:rFonts w:hint="eastAsia" w:ascii="仿宋_GB2312" w:hAnsi="宋体" w:eastAsia="仿宋_GB2312" w:cs="宋体"/>
          <w:color w:val="2A2A2A"/>
          <w:sz w:val="32"/>
          <w:szCs w:val="32"/>
        </w:rPr>
        <w:t>进一步加强，保障</w:t>
      </w:r>
      <w:r>
        <w:rPr>
          <w:rFonts w:hint="eastAsia" w:ascii="仿宋_GB2312" w:hAnsi="宋体" w:eastAsia="仿宋_GB2312" w:cs="宋体"/>
          <w:color w:val="2A2A2A"/>
          <w:sz w:val="32"/>
          <w:szCs w:val="32"/>
          <w:lang w:val="en-US" w:eastAsia="zh-CN"/>
        </w:rPr>
        <w:t>派驻检察室</w:t>
      </w:r>
      <w:r>
        <w:rPr>
          <w:rFonts w:hint="eastAsia" w:ascii="仿宋_GB2312" w:hAnsi="宋体" w:eastAsia="仿宋_GB2312" w:cs="宋体"/>
          <w:color w:val="2A2A2A"/>
          <w:sz w:val="32"/>
          <w:szCs w:val="32"/>
        </w:rPr>
        <w:t>办案水平进一步提高，</w:t>
      </w:r>
      <w:r>
        <w:rPr>
          <w:rFonts w:hint="eastAsia" w:ascii="仿宋_GB2312" w:hAnsi="仿宋_GB2312" w:eastAsia="仿宋_GB2312" w:cs="仿宋_GB2312"/>
          <w:sz w:val="32"/>
          <w:szCs w:val="32"/>
        </w:rPr>
        <w:t>派驻检察室信息化建设项目</w:t>
      </w:r>
      <w:r>
        <w:rPr>
          <w:rFonts w:hint="eastAsia" w:ascii="仿宋_GB2312" w:hAnsi="宋体" w:eastAsia="仿宋_GB2312" w:cs="宋体"/>
          <w:color w:val="2A2A2A"/>
          <w:sz w:val="32"/>
          <w:szCs w:val="32"/>
          <w:lang w:val="en-US" w:eastAsia="zh-CN"/>
        </w:rPr>
        <w:t>的建设完成</w:t>
      </w:r>
      <w:r>
        <w:rPr>
          <w:rFonts w:hint="eastAsia" w:ascii="仿宋_GB2312" w:hAnsi="宋体" w:eastAsia="仿宋_GB2312" w:cs="宋体"/>
          <w:color w:val="2A2A2A"/>
          <w:sz w:val="32"/>
          <w:szCs w:val="32"/>
        </w:rPr>
        <w:t>，切实地</w:t>
      </w:r>
      <w:r>
        <w:rPr>
          <w:rFonts w:hint="eastAsia" w:ascii="仿宋_GB2312" w:hAnsi="宋体" w:eastAsia="仿宋_GB2312" w:cs="宋体"/>
          <w:color w:val="2A2A2A"/>
          <w:sz w:val="32"/>
          <w:szCs w:val="32"/>
          <w:lang w:val="en-US" w:eastAsia="zh-CN"/>
        </w:rPr>
        <w:t>加强</w:t>
      </w:r>
      <w:r>
        <w:rPr>
          <w:rFonts w:hint="eastAsia" w:ascii="仿宋_GB2312" w:hAnsi="宋体" w:eastAsia="仿宋_GB2312" w:cs="宋体"/>
          <w:color w:val="2A2A2A"/>
          <w:sz w:val="32"/>
          <w:szCs w:val="32"/>
        </w:rPr>
        <w:t>了</w:t>
      </w:r>
      <w:r>
        <w:rPr>
          <w:rFonts w:hint="eastAsia" w:ascii="仿宋_GB2312" w:hAnsi="宋体" w:eastAsia="仿宋_GB2312" w:cs="宋体"/>
          <w:color w:val="2A2A2A"/>
          <w:sz w:val="32"/>
          <w:szCs w:val="32"/>
          <w:lang w:val="en-US" w:eastAsia="zh-CN"/>
        </w:rPr>
        <w:t>派驻检察室工作</w:t>
      </w:r>
      <w:r>
        <w:rPr>
          <w:rFonts w:hint="eastAsia" w:ascii="仿宋_GB2312" w:hAnsi="宋体" w:eastAsia="仿宋_GB2312" w:cs="宋体"/>
          <w:color w:val="2A2A2A"/>
          <w:sz w:val="32"/>
          <w:szCs w:val="32"/>
        </w:rPr>
        <w:t>，确保了</w:t>
      </w:r>
      <w:r>
        <w:rPr>
          <w:rFonts w:hint="eastAsia" w:ascii="仿宋_GB2312" w:hAnsi="宋体" w:eastAsia="仿宋_GB2312" w:cs="宋体"/>
          <w:color w:val="2A2A2A"/>
          <w:sz w:val="32"/>
          <w:szCs w:val="32"/>
          <w:lang w:val="en-US" w:eastAsia="zh-CN"/>
        </w:rPr>
        <w:t>派驻检察室工作</w:t>
      </w:r>
      <w:r>
        <w:rPr>
          <w:rFonts w:hint="eastAsia" w:ascii="仿宋_GB2312" w:hAnsi="宋体" w:eastAsia="仿宋_GB2312" w:cs="宋体"/>
          <w:color w:val="2A2A2A"/>
          <w:sz w:val="32"/>
          <w:szCs w:val="32"/>
        </w:rPr>
        <w:t>的顺利</w:t>
      </w:r>
      <w:r>
        <w:rPr>
          <w:rFonts w:hint="eastAsia" w:ascii="仿宋_GB2312" w:hAnsi="宋体" w:eastAsia="仿宋_GB2312" w:cs="宋体"/>
          <w:color w:val="2A2A2A"/>
          <w:sz w:val="32"/>
          <w:szCs w:val="32"/>
          <w:lang w:val="en-US" w:eastAsia="zh-CN"/>
        </w:rPr>
        <w:t>开展</w:t>
      </w:r>
      <w:r>
        <w:rPr>
          <w:rFonts w:hint="eastAsia" w:ascii="仿宋_GB2312" w:hAnsi="宋体" w:eastAsia="仿宋_GB2312" w:cs="宋体"/>
          <w:color w:val="2A2A2A"/>
          <w:sz w:val="32"/>
          <w:szCs w:val="32"/>
        </w:rPr>
        <w:t>。完成了201</w:t>
      </w:r>
      <w:r>
        <w:rPr>
          <w:rFonts w:hint="eastAsia" w:ascii="仿宋_GB2312" w:hAnsi="宋体" w:eastAsia="仿宋_GB2312" w:cs="宋体"/>
          <w:color w:val="2A2A2A"/>
          <w:sz w:val="32"/>
          <w:szCs w:val="32"/>
          <w:lang w:val="en-US" w:eastAsia="zh-CN"/>
        </w:rPr>
        <w:t>9</w:t>
      </w:r>
      <w:r>
        <w:rPr>
          <w:rFonts w:hint="eastAsia" w:ascii="仿宋_GB2312" w:hAnsi="宋体" w:eastAsia="仿宋_GB2312" w:cs="宋体"/>
          <w:color w:val="2A2A2A"/>
          <w:sz w:val="32"/>
          <w:szCs w:val="32"/>
        </w:rPr>
        <w:t>年度绩效任务。</w:t>
      </w:r>
    </w:p>
    <w:p>
      <w:pPr>
        <w:tabs>
          <w:tab w:val="left" w:pos="312"/>
        </w:tabs>
        <w:spacing w:line="580" w:lineRule="exact"/>
        <w:ind w:firstLine="640" w:firstLineChars="200"/>
        <w:rPr>
          <w:rFonts w:hAnsi="ˎ̥" w:cs="宋体"/>
          <w:szCs w:val="30"/>
        </w:rPr>
      </w:pPr>
      <w:r>
        <w:rPr>
          <w:rFonts w:hint="eastAsia" w:ascii="仿宋_GB2312" w:hAnsi="宋体" w:eastAsia="仿宋_GB2312" w:cs="宋体"/>
          <w:color w:val="2A2A2A"/>
          <w:sz w:val="32"/>
          <w:szCs w:val="32"/>
        </w:rPr>
        <w:t>5.</w:t>
      </w:r>
      <w:r>
        <w:rPr>
          <w:rFonts w:hint="eastAsia" w:hAnsi="ˎ̥" w:cs="宋体"/>
          <w:szCs w:val="30"/>
        </w:rPr>
        <w:t xml:space="preserve"> </w:t>
      </w:r>
      <w:r>
        <w:rPr>
          <w:rFonts w:hint="eastAsia" w:ascii="仿宋_GB2312" w:hAnsi="宋体" w:eastAsia="仿宋_GB2312" w:cs="宋体"/>
          <w:color w:val="2A2A2A"/>
          <w:sz w:val="32"/>
          <w:szCs w:val="32"/>
        </w:rPr>
        <w:t>全州检察机关涉密信息系统安全保密运维服务费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年全州检察机关涉密信息系统安全保密运维服务。实主要问题：资金支付进度较慢。下一步改进措施：加快资金支付力度。</w:t>
      </w:r>
    </w:p>
    <w:tbl>
      <w:tblPr>
        <w:tblStyle w:val="14"/>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2"/>
              <w:widowControl/>
              <w:ind w:left="3580" w:leftChars="1310" w:hanging="829" w:hangingChars="395"/>
              <w:textAlignment w:val="center"/>
              <w:rPr>
                <w:rFonts w:ascii="宋体" w:hAnsi="宋体" w:cs="宋体"/>
                <w:color w:val="000000"/>
                <w:sz w:val="21"/>
                <w:szCs w:val="21"/>
              </w:rPr>
            </w:pPr>
            <w:r>
              <w:rPr>
                <w:rFonts w:hint="eastAsia" w:ascii="黑体" w:hAnsi="黑体" w:eastAsia="黑体" w:cs="宋体"/>
                <w:bCs/>
                <w:color w:val="000000"/>
                <w:kern w:val="0"/>
                <w:sz w:val="21"/>
                <w:szCs w:val="21"/>
              </w:rPr>
              <w:t>项目支出绩效目标完成情况表</w:t>
            </w:r>
            <w:r>
              <w:rPr>
                <w:rFonts w:hint="eastAsia" w:ascii="宋体" w:hAnsi="宋体" w:cs="宋体"/>
                <w:b/>
                <w:bCs/>
                <w:color w:val="000000"/>
                <w:kern w:val="0"/>
                <w:sz w:val="21"/>
                <w:szCs w:val="21"/>
              </w:rPr>
              <w:br w:type="textWrapping"/>
            </w:r>
            <w:r>
              <w:rPr>
                <w:rFonts w:hint="eastAsia" w:ascii="宋体" w:hAnsi="宋体" w:cs="宋体"/>
                <w:color w:val="000000"/>
                <w:kern w:val="0"/>
                <w:sz w:val="21"/>
                <w:szCs w:val="21"/>
              </w:rPr>
              <w:t>(201</w:t>
            </w:r>
            <w:r>
              <w:rPr>
                <w:rFonts w:hint="eastAsia" w:ascii="宋体" w:hAnsi="宋体" w:cs="宋体"/>
                <w:color w:val="000000"/>
                <w:kern w:val="0"/>
                <w:sz w:val="21"/>
                <w:szCs w:val="21"/>
                <w:lang w:val="en-US" w:eastAsia="zh-CN"/>
              </w:rPr>
              <w:t>9</w:t>
            </w:r>
            <w:r>
              <w:rPr>
                <w:rFonts w:hint="eastAsia" w:ascii="宋体" w:hAnsi="宋体" w:cs="宋体"/>
                <w:color w:val="000000"/>
                <w:kern w:val="0"/>
                <w:sz w:val="21"/>
                <w:szCs w:val="21"/>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人民监督员经费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阿坝州检察院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5万元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1"/>
                <w:szCs w:val="21"/>
              </w:rPr>
            </w:pPr>
            <w:r>
              <w:rPr>
                <w:rFonts w:hint="eastAsia" w:ascii="宋体" w:hAnsi="宋体" w:cs="宋体"/>
                <w:color w:val="000000"/>
                <w:sz w:val="21"/>
                <w:szCs w:val="21"/>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sz w:val="21"/>
                <w:szCs w:val="21"/>
              </w:rPr>
              <w:t>推进司法体制改革，以健全确保依法独立公正行使检察权的监督制约机制为目标，改革人民监督员选任和管理方式，扩大人民监督员监督范围，完善人民监督员监督程序，进一步拓宽人民群众有序参与司法的渠道。指导各县（市）加强检察院人民监督员制度建设，全面提升检察院整体工作效能，全面发挥藏区人民监督员、特约检察院在依法治藏和各类案件中的作用。</w:t>
            </w:r>
          </w:p>
          <w:p>
            <w:pPr>
              <w:widowControl/>
              <w:jc w:val="left"/>
              <w:textAlignment w:val="center"/>
              <w:rPr>
                <w:rFonts w:ascii="宋体" w:hAnsi="宋体" w:cs="宋体"/>
                <w:color w:val="000000"/>
                <w:sz w:val="21"/>
                <w:szCs w:val="21"/>
              </w:rPr>
            </w:pPr>
            <w:r>
              <w:rPr>
                <w:rFonts w:hint="eastAsia" w:ascii="宋体" w:hAnsi="宋体" w:cs="宋体"/>
                <w:color w:val="000000"/>
                <w:sz w:val="21"/>
                <w:szCs w:val="21"/>
              </w:rPr>
              <w:t>深入推进人民监督员工作，规范人民监督员工作流程，确保发挥人民监督员在司法办案中的监督作用。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年人民监督员在监督工作中履行下列职责：对人民检察院办理直接受理立案侦查案件的情形实施了监督。人民监督员应邀参加了人民检察院组织的执法检查活动2次，并提出了宝贵意见和建议。人民监督员可以对检察机关的其他检察工作、检察队伍建设也出意见、建议。</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指导全州检察机关开展人民监督员工作和州本级检察机关开展人民监督员工作。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加强对全州13个县人民调监督员和州检察院本级人民监督员的工作开展。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20" w:firstLineChars="200"/>
              <w:jc w:val="left"/>
              <w:textAlignment w:val="center"/>
              <w:rPr>
                <w:rFonts w:ascii="宋体" w:hAnsi="宋体" w:cs="宋体"/>
                <w:color w:val="000000"/>
                <w:sz w:val="21"/>
                <w:szCs w:val="21"/>
              </w:rPr>
            </w:pPr>
            <w:r>
              <w:rPr>
                <w:rFonts w:hint="eastAsia" w:ascii="宋体" w:hAnsi="宋体" w:cs="宋体"/>
                <w:color w:val="000000"/>
                <w:sz w:val="21"/>
                <w:szCs w:val="21"/>
              </w:rPr>
              <w:t>对阿坝州人民检察院办理直接受理立案侦查案件的实施了监督;人民监督员应邀参加阿坝州人民检察院组织的有关执法检查和检察开放日等活动，并提出意见和建议。人民监督员对检察机关的其他检察工作、检察队伍建设等提出意见、建议。</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sz w:val="21"/>
                <w:szCs w:val="21"/>
              </w:rPr>
              <w:t>提高人民监督员。司法所面积、人员、业务工作、外观和室内规范达到省级标准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2018年阿坝州人民检察院人民监督员工作得以顺利开展。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sz w:val="21"/>
                <w:szCs w:val="21"/>
              </w:rPr>
              <w:t>对人民检察院办理直接受理立案侦查案件的实施了监督;人民监督员应邀参加人民检察院组织的有关执法检查和检察开放日等活动，并提出意见和建议。人民监督员对检察机关的其他检察工作、检察队伍建设等提出意见、建议</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人民监督员办公费出3万元、人民监督员材料、图片印刷费支出2万元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实际支出5万元</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政府和群众满意度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满意率90%以上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满意率90%以上</w:t>
            </w:r>
          </w:p>
        </w:tc>
      </w:tr>
    </w:tbl>
    <w:p>
      <w:pPr>
        <w:rPr>
          <w:rFonts w:ascii="Calibri" w:hAnsi="Calibri"/>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numPr>
          <w:ilvl w:val="0"/>
          <w:numId w:val="6"/>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年部门整体支出绩效评价情况开展自评，《阿坝州人民检察院20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本部门自行组织对人民监督员项目，《阿坝州人民检察院人民监督员项目201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年绩效评价报告》见附件。</w:t>
      </w:r>
    </w:p>
    <w:p>
      <w:pPr>
        <w:spacing w:line="600" w:lineRule="exact"/>
        <w:ind w:firstLine="800" w:firstLineChars="250"/>
        <w:outlineLvl w:val="1"/>
        <w:rPr>
          <w:rStyle w:val="27"/>
          <w:rFonts w:ascii="黑体" w:hAnsi="黑体" w:eastAsia="黑体"/>
        </w:rPr>
      </w:pPr>
      <w:bookmarkStart w:id="48" w:name="_Toc15377221"/>
      <w:bookmarkStart w:id="49" w:name="_Toc15396612"/>
      <w:r>
        <w:rPr>
          <w:rFonts w:hint="eastAsia" w:ascii="黑体" w:hAnsi="黑体" w:eastAsia="黑体"/>
          <w:color w:val="000000"/>
          <w:sz w:val="32"/>
          <w:szCs w:val="32"/>
        </w:rPr>
        <w:t>十</w:t>
      </w:r>
      <w:r>
        <w:rPr>
          <w:rStyle w:val="27"/>
          <w:rFonts w:hint="eastAsia" w:ascii="黑体" w:hAnsi="黑体" w:eastAsia="黑体"/>
        </w:rPr>
        <w:t>一、其他重要事项的情况说明</w:t>
      </w:r>
      <w:bookmarkEnd w:id="48"/>
      <w:bookmarkEnd w:id="49"/>
    </w:p>
    <w:p>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年，阿坝州人民检察院机关运行经费支出</w:t>
      </w:r>
      <w:r>
        <w:rPr>
          <w:rFonts w:hint="eastAsia" w:ascii="仿宋_GB2312" w:eastAsia="仿宋_GB2312"/>
          <w:color w:val="000000"/>
          <w:sz w:val="32"/>
          <w:szCs w:val="32"/>
          <w:lang w:val="en-US" w:eastAsia="zh-CN"/>
        </w:rPr>
        <w:t>513.8</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6.69</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13.02</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主要原因是业务量增大。</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年，阿坝州人民检察院政府采购支出总额</w:t>
      </w:r>
      <w:r>
        <w:rPr>
          <w:rFonts w:hint="eastAsia" w:ascii="仿宋_GB2312" w:eastAsia="仿宋_GB2312"/>
          <w:color w:val="000000"/>
          <w:sz w:val="32"/>
          <w:szCs w:val="32"/>
          <w:lang w:val="en-US" w:eastAsia="zh-CN"/>
        </w:rPr>
        <w:t>169.42</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169.42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主要用于</w:t>
      </w:r>
      <w:r>
        <w:rPr>
          <w:rFonts w:hint="eastAsia" w:ascii="仿宋_GB2312" w:eastAsia="仿宋_GB2312"/>
          <w:color w:val="000000"/>
          <w:sz w:val="32"/>
          <w:szCs w:val="32"/>
          <w:lang w:val="en-US" w:eastAsia="zh-CN"/>
        </w:rPr>
        <w:t>检查工作基础网络建设</w:t>
      </w:r>
      <w:r>
        <w:rPr>
          <w:rFonts w:hint="eastAsia" w:ascii="仿宋_GB2312" w:eastAsia="仿宋_GB2312"/>
          <w:color w:val="000000"/>
          <w:sz w:val="32"/>
          <w:szCs w:val="32"/>
        </w:rPr>
        <w:t>、</w:t>
      </w:r>
      <w:r>
        <w:rPr>
          <w:rFonts w:hint="eastAsia" w:ascii="仿宋_GB2312" w:hAnsi="仿宋_GB2312" w:eastAsia="仿宋_GB2312" w:cs="仿宋_GB2312"/>
          <w:sz w:val="32"/>
          <w:szCs w:val="32"/>
        </w:rPr>
        <w:t>派驻检察室信息化建设项目</w:t>
      </w:r>
      <w:r>
        <w:rPr>
          <w:rFonts w:hint="eastAsia" w:ascii="仿宋_GB2312" w:eastAsia="仿宋_GB2312"/>
          <w:color w:val="000000"/>
          <w:sz w:val="32"/>
          <w:szCs w:val="32"/>
        </w:rPr>
        <w:t>等项目支出。授予中小企业合同金额</w:t>
      </w:r>
      <w:r>
        <w:rPr>
          <w:rFonts w:hint="eastAsia" w:ascii="仿宋_GB2312" w:eastAsia="仿宋_GB2312"/>
          <w:color w:val="000000"/>
          <w:sz w:val="32"/>
          <w:szCs w:val="32"/>
          <w:lang w:val="en-US" w:eastAsia="zh-CN"/>
        </w:rPr>
        <w:t>169.42</w:t>
      </w:r>
      <w:r>
        <w:rPr>
          <w:rFonts w:hint="eastAsia" w:ascii="仿宋_GB2312" w:eastAsia="仿宋_GB2312"/>
          <w:color w:val="000000"/>
          <w:sz w:val="32"/>
          <w:szCs w:val="32"/>
        </w:rPr>
        <w:t>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日，阿坝州司法局共有车辆24辆，其中：执法执勤用车辆22辆、一般公务用车2辆；</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8"/>
        </w:numPr>
        <w:spacing w:line="600" w:lineRule="exact"/>
        <w:ind w:firstLine="663" w:firstLineChars="150"/>
        <w:jc w:val="center"/>
        <w:outlineLvl w:val="0"/>
        <w:rPr>
          <w:rStyle w:val="26"/>
          <w:rFonts w:ascii="黑体" w:hAnsi="黑体" w:eastAsia="黑体"/>
          <w:b w:val="0"/>
        </w:rPr>
      </w:pPr>
      <w:r>
        <w:rPr>
          <w:rFonts w:hint="eastAsia" w:ascii="黑体" w:hAnsi="黑体" w:eastAsia="黑体"/>
          <w:b/>
          <w:color w:val="000000"/>
          <w:sz w:val="44"/>
          <w:szCs w:val="44"/>
        </w:rPr>
        <w:t>名</w:t>
      </w:r>
      <w:r>
        <w:rPr>
          <w:rStyle w:val="26"/>
          <w:rFonts w:hint="eastAsia" w:ascii="黑体" w:hAnsi="黑体" w:eastAsia="黑体"/>
          <w:b w:val="0"/>
        </w:rPr>
        <w:t>词解释</w:t>
      </w:r>
      <w:bookmarkEnd w:id="46"/>
      <w:bookmarkEnd w:id="47"/>
    </w:p>
    <w:p>
      <w:pPr>
        <w:spacing w:line="600" w:lineRule="exact"/>
        <w:jc w:val="left"/>
        <w:rPr>
          <w:rFonts w:ascii="宋体"/>
          <w:b/>
          <w:color w:val="000000"/>
          <w:sz w:val="44"/>
          <w:szCs w:val="44"/>
        </w:rPr>
      </w:pPr>
    </w:p>
    <w:p>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ascii="仿宋_GB2312" w:eastAsia="仿宋_GB2312" w:cs="黑体"/>
          <w:sz w:val="32"/>
          <w:szCs w:val="32"/>
        </w:rPr>
      </w:pPr>
    </w:p>
    <w:p>
      <w:pPr>
        <w:spacing w:line="600" w:lineRule="exact"/>
        <w:jc w:val="center"/>
        <w:outlineLvl w:val="0"/>
        <w:rPr>
          <w:rStyle w:val="26"/>
          <w:rFonts w:ascii="黑体" w:hAnsi="黑体" w:eastAsia="黑体"/>
          <w:b w:val="0"/>
        </w:rPr>
      </w:pPr>
      <w:bookmarkStart w:id="53" w:name="_Toc15377226"/>
      <w:r>
        <w:rPr>
          <w:rFonts w:ascii="宋体"/>
          <w:b/>
          <w:color w:val="000000"/>
          <w:sz w:val="44"/>
          <w:szCs w:val="44"/>
        </w:rPr>
        <w:br w:type="page"/>
      </w:r>
      <w:bookmarkStart w:id="54"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54"/>
    </w:p>
    <w:p>
      <w:pPr>
        <w:spacing w:line="600" w:lineRule="exact"/>
        <w:jc w:val="center"/>
        <w:outlineLvl w:val="0"/>
        <w:rPr>
          <w:rStyle w:val="26"/>
        </w:rPr>
      </w:pPr>
    </w:p>
    <w:p>
      <w:pPr>
        <w:pStyle w:val="3"/>
        <w:rPr>
          <w:rStyle w:val="26"/>
          <w:rFonts w:ascii="仿宋" w:hAnsi="仿宋" w:eastAsia="仿宋"/>
          <w:b w:val="0"/>
          <w:bCs w:val="0"/>
          <w:sz w:val="32"/>
          <w:szCs w:val="32"/>
        </w:rPr>
      </w:pPr>
      <w:bookmarkStart w:id="55" w:name="_Toc15396615"/>
      <w:r>
        <w:rPr>
          <w:rStyle w:val="26"/>
          <w:rFonts w:hint="eastAsia" w:ascii="仿宋" w:hAnsi="仿宋" w:eastAsia="仿宋"/>
          <w:b w:val="0"/>
          <w:bCs w:val="0"/>
          <w:sz w:val="32"/>
          <w:szCs w:val="32"/>
        </w:rPr>
        <w:t>附件1</w:t>
      </w:r>
      <w:bookmarkEnd w:id="55"/>
    </w:p>
    <w:p>
      <w:pPr>
        <w:spacing w:line="600" w:lineRule="exact"/>
        <w:jc w:val="center"/>
        <w:outlineLvl w:val="0"/>
        <w:rPr>
          <w:rFonts w:hint="eastAsia" w:ascii="黑体" w:hAnsi="黑体" w:eastAsia="黑体" w:cs="方正小标宋简体"/>
          <w:sz w:val="36"/>
          <w:szCs w:val="36"/>
        </w:rPr>
      </w:pPr>
      <w:bookmarkStart w:id="56" w:name="_Toc15396616"/>
      <w:r>
        <w:rPr>
          <w:rFonts w:hint="eastAsia" w:ascii="黑体" w:hAnsi="黑体" w:eastAsia="黑体" w:cs="方正小标宋简体"/>
          <w:sz w:val="36"/>
          <w:szCs w:val="36"/>
        </w:rPr>
        <w:t>阿坝州人民检察院</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56"/>
    </w:p>
    <w:bookmarkEnd w:id="53"/>
    <w:p>
      <w:pPr>
        <w:spacing w:line="580" w:lineRule="exact"/>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阿坝州人民检察院属于财政一级预算单位。内设机构 </w:t>
      </w:r>
      <w:r>
        <w:rPr>
          <w:rFonts w:hint="eastAsia" w:ascii="仿宋" w:hAnsi="仿宋" w:eastAsia="仿宋" w:cs="仿宋_GB2312"/>
          <w:sz w:val="32"/>
          <w:szCs w:val="32"/>
          <w:lang w:val="en-US" w:eastAsia="zh-CN"/>
        </w:rPr>
        <w:t>15</w:t>
      </w:r>
      <w:r>
        <w:rPr>
          <w:rFonts w:hint="eastAsia" w:ascii="仿宋" w:hAnsi="仿宋" w:eastAsia="仿宋" w:cs="仿宋_GB2312"/>
          <w:sz w:val="32"/>
          <w:szCs w:val="32"/>
        </w:rPr>
        <w:t>个。</w:t>
      </w:r>
    </w:p>
    <w:p>
      <w:pPr>
        <w:numPr>
          <w:ilvl w:val="0"/>
          <w:numId w:val="9"/>
        </w:numPr>
        <w:spacing w:line="580" w:lineRule="exact"/>
        <w:ind w:firstLine="640" w:firstLineChars="200"/>
        <w:rPr>
          <w:rFonts w:hint="eastAsia" w:ascii="仿宋" w:hAnsi="仿宋" w:eastAsia="仿宋" w:cs="仿宋_GB2312"/>
          <w:sz w:val="32"/>
          <w:szCs w:val="32"/>
        </w:rPr>
      </w:pPr>
      <w:r>
        <w:rPr>
          <w:rFonts w:ascii="仿宋" w:hAnsi="仿宋" w:eastAsia="仿宋" w:cs="仿宋_GB2312"/>
          <w:sz w:val="32"/>
          <w:szCs w:val="32"/>
        </w:rPr>
        <w:t>机构职能。</w:t>
      </w:r>
    </w:p>
    <w:p>
      <w:pPr>
        <w:spacing w:line="580" w:lineRule="exact"/>
        <w:ind w:firstLine="640" w:firstLineChars="200"/>
        <w:rPr>
          <w:rFonts w:ascii="仿宋" w:hAnsi="仿宋" w:eastAsia="仿宋" w:cs="仿宋_GB2312"/>
          <w:sz w:val="32"/>
          <w:szCs w:val="32"/>
        </w:rPr>
      </w:pPr>
      <w:r>
        <w:rPr>
          <w:rFonts w:hint="eastAsia" w:ascii="仿宋_GB2312" w:eastAsia="仿宋_GB2312"/>
          <w:color w:val="000000"/>
          <w:sz w:val="32"/>
          <w:szCs w:val="32"/>
        </w:rPr>
        <w:t>根据州委、州政府和省检察院关于201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年全州工作的总体部署，201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年主要工作是:</w:t>
      </w:r>
      <w:r>
        <w:rPr>
          <w:rFonts w:hint="eastAsia" w:ascii="仿宋_GB2312" w:hAnsi="仿宋_GB2312" w:eastAsia="仿宋_GB2312"/>
          <w:color w:val="000000"/>
          <w:sz w:val="32"/>
        </w:rPr>
        <w:t xml:space="preserve"> </w:t>
      </w:r>
      <w:r>
        <w:rPr>
          <w:rFonts w:hint="eastAsia" w:ascii="仿宋_GB2312" w:hAnsi="仿宋_GB2312" w:eastAsia="仿宋_GB2312"/>
          <w:sz w:val="32"/>
        </w:rPr>
        <w:t>1.负责全州人民检察院宏观管理、指挥和协调。2.负责依法查处办理国家执法办案工作人员办案过程中犯罪的案件</w:t>
      </w:r>
      <w:r>
        <w:rPr>
          <w:rFonts w:hint="eastAsia" w:ascii="仿宋_GB2312" w:hAnsi="仿宋_GB2312" w:eastAsia="仿宋_GB2312"/>
          <w:sz w:val="32"/>
          <w:szCs w:val="32"/>
        </w:rPr>
        <w:t>。3.领导全州各县检察院依法对刑事诉讼、民事审判和行政诉讼实行监督。4.督促、指导、协调全州检察机关侦破、查处、办理各类刑事案件。5.负责全州人民检察院制度建设，指导全州人民检察院执法工作，对全州人民检察院执法质量进行监督、检查、考评。6.负责编制全州人民检察院发展建设规划，组织指导全州人民检察院装备、基础设施建设；承担装备专用物资的申请、购置、调拨、发放和管理工作。7.负责全州人民检察院机构设置、编制和人员配备的审核报批，干警招收录用协调及教育培训、立功受奖、优扶、宣传等工作，协管各县检察机关领导干部。8.负责对全州检察队伍执行法律、法规和有关规定情况、作风纪律情况及重要工作开展情况进行督察，组织查处或指导查处检察院干警违法、违纪案件，指导全州检察队伍党风廉政建设。9.</w:t>
      </w:r>
      <w:r>
        <w:rPr>
          <w:rFonts w:hint="eastAsia" w:ascii="仿宋_GB2312" w:hAnsi="仿宋_GB2312" w:eastAsia="仿宋_GB2312"/>
          <w:sz w:val="32"/>
        </w:rPr>
        <w:t xml:space="preserve">负责检察系统不稳定因素的协调和调解工作；担负机关维稳、综治、消防等工作。 </w:t>
      </w:r>
    </w:p>
    <w:p>
      <w:pPr>
        <w:numPr>
          <w:ilvl w:val="0"/>
          <w:numId w:val="9"/>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人员概况。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总编制 </w:t>
      </w:r>
      <w:r>
        <w:rPr>
          <w:rFonts w:hint="eastAsia" w:ascii="仿宋" w:hAnsi="仿宋" w:eastAsia="仿宋" w:cs="仿宋_GB2312"/>
          <w:sz w:val="32"/>
          <w:szCs w:val="32"/>
          <w:lang w:val="en-US" w:eastAsia="zh-CN"/>
        </w:rPr>
        <w:t>76</w:t>
      </w:r>
      <w:r>
        <w:rPr>
          <w:rFonts w:hint="eastAsia" w:ascii="仿宋" w:hAnsi="仿宋" w:eastAsia="仿宋" w:cs="仿宋_GB2312"/>
          <w:sz w:val="32"/>
          <w:szCs w:val="32"/>
        </w:rPr>
        <w:t>名,其中:行政编制</w:t>
      </w:r>
      <w:r>
        <w:rPr>
          <w:rFonts w:hint="eastAsia" w:ascii="仿宋" w:hAnsi="仿宋" w:eastAsia="仿宋" w:cs="仿宋_GB2312"/>
          <w:sz w:val="32"/>
          <w:szCs w:val="32"/>
          <w:lang w:val="en-US" w:eastAsia="zh-CN"/>
        </w:rPr>
        <w:t>63</w:t>
      </w:r>
      <w:r>
        <w:rPr>
          <w:rFonts w:hint="eastAsia" w:ascii="仿宋" w:hAnsi="仿宋" w:eastAsia="仿宋" w:cs="仿宋_GB2312"/>
          <w:sz w:val="32"/>
          <w:szCs w:val="32"/>
        </w:rPr>
        <w:t>名,其他事业编制13名。在职人员总数</w:t>
      </w:r>
      <w:r>
        <w:rPr>
          <w:rFonts w:hint="eastAsia" w:ascii="仿宋" w:hAnsi="仿宋" w:eastAsia="仿宋" w:cs="仿宋_GB2312"/>
          <w:sz w:val="32"/>
          <w:szCs w:val="32"/>
          <w:lang w:val="en-US" w:eastAsia="zh-CN"/>
        </w:rPr>
        <w:t>60</w:t>
      </w:r>
      <w:r>
        <w:rPr>
          <w:rFonts w:hint="eastAsia" w:ascii="仿宋" w:hAnsi="仿宋" w:eastAsia="仿宋" w:cs="仿宋_GB2312"/>
          <w:sz w:val="32"/>
          <w:szCs w:val="32"/>
        </w:rPr>
        <w:t>名，其中：行政人员</w:t>
      </w:r>
      <w:r>
        <w:rPr>
          <w:rFonts w:hint="eastAsia" w:ascii="仿宋" w:hAnsi="仿宋" w:eastAsia="仿宋" w:cs="仿宋_GB2312"/>
          <w:sz w:val="32"/>
          <w:szCs w:val="32"/>
          <w:lang w:val="en-US" w:eastAsia="zh-CN"/>
        </w:rPr>
        <w:t>53</w:t>
      </w:r>
      <w:r>
        <w:rPr>
          <w:rFonts w:hint="eastAsia" w:ascii="仿宋" w:hAnsi="仿宋" w:eastAsia="仿宋" w:cs="仿宋_GB2312"/>
          <w:sz w:val="32"/>
          <w:szCs w:val="32"/>
        </w:rPr>
        <w:t>名，其他事业人员</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名；编外长期聘用人员1名。</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年度收入总计</w:t>
      </w:r>
      <w:r>
        <w:rPr>
          <w:rFonts w:hint="eastAsia" w:ascii="仿宋" w:hAnsi="仿宋" w:eastAsia="仿宋"/>
          <w:color w:val="000000"/>
          <w:sz w:val="32"/>
          <w:szCs w:val="32"/>
          <w:lang w:val="en-US" w:eastAsia="zh-CN"/>
        </w:rPr>
        <w:t>2865.91</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年相比，收入总计</w:t>
      </w:r>
      <w:r>
        <w:rPr>
          <w:rFonts w:hint="eastAsia" w:ascii="仿宋" w:hAnsi="仿宋" w:eastAsia="仿宋"/>
          <w:color w:val="000000"/>
          <w:sz w:val="32"/>
          <w:szCs w:val="32"/>
          <w:lang w:val="en-US" w:eastAsia="zh-CN"/>
        </w:rPr>
        <w:t>减少103.3</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减少3.48</w:t>
      </w:r>
      <w:r>
        <w:rPr>
          <w:rFonts w:ascii="仿宋" w:hAnsi="仿宋" w:eastAsia="仿宋"/>
          <w:color w:val="000000"/>
          <w:sz w:val="32"/>
          <w:szCs w:val="32"/>
        </w:rPr>
        <w:t>%</w:t>
      </w:r>
      <w:r>
        <w:rPr>
          <w:rFonts w:hint="eastAsia" w:ascii="仿宋" w:hAnsi="仿宋" w:eastAsia="仿宋"/>
          <w:color w:val="000000"/>
          <w:sz w:val="32"/>
          <w:szCs w:val="32"/>
        </w:rPr>
        <w:t>。</w:t>
      </w:r>
    </w:p>
    <w:p>
      <w:pPr>
        <w:numPr>
          <w:ilvl w:val="0"/>
          <w:numId w:val="10"/>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年度支出总计</w:t>
      </w:r>
      <w:r>
        <w:rPr>
          <w:rFonts w:hint="eastAsia" w:ascii="仿宋" w:hAnsi="仿宋" w:eastAsia="仿宋"/>
          <w:color w:val="000000"/>
          <w:sz w:val="32"/>
          <w:szCs w:val="32"/>
          <w:lang w:val="en-US" w:eastAsia="zh-CN"/>
        </w:rPr>
        <w:t>2789.32</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年相比，支出总计</w:t>
      </w:r>
      <w:r>
        <w:rPr>
          <w:rFonts w:hint="eastAsia" w:ascii="仿宋" w:hAnsi="仿宋" w:eastAsia="仿宋"/>
          <w:color w:val="000000"/>
          <w:sz w:val="32"/>
          <w:szCs w:val="32"/>
          <w:lang w:val="en-US" w:eastAsia="zh-CN"/>
        </w:rPr>
        <w:t>减少347.2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减少11.07</w:t>
      </w:r>
      <w:r>
        <w:rPr>
          <w:rFonts w:hint="eastAsia" w:ascii="仿宋" w:hAnsi="仿宋" w:eastAsia="仿宋"/>
          <w:color w:val="000000"/>
          <w:sz w:val="32"/>
          <w:szCs w:val="32"/>
        </w:rPr>
        <w:t>%。</w:t>
      </w:r>
    </w:p>
    <w:p>
      <w:pPr>
        <w:numPr>
          <w:ilvl w:val="0"/>
          <w:numId w:val="11"/>
        </w:numPr>
        <w:spacing w:line="580" w:lineRule="exact"/>
        <w:ind w:firstLine="640" w:firstLineChars="200"/>
        <w:rPr>
          <w:rFonts w:ascii="黑体" w:hAnsi="黑体" w:eastAsia="黑体" w:cs="黑体"/>
          <w:sz w:val="32"/>
          <w:szCs w:val="32"/>
        </w:rPr>
      </w:pPr>
      <w:r>
        <w:rPr>
          <w:rFonts w:ascii="黑体" w:hAnsi="黑体" w:eastAsia="黑体" w:cs="黑体"/>
          <w:sz w:val="32"/>
          <w:szCs w:val="32"/>
        </w:rPr>
        <w:t>部门整体预算绩效管理情况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1.预算编制情况。201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年预算编制严格按照财政预算编制要求，准确录入相关信息，各项业务经费参照上两年支出和下年预计开展工作情况合理编制，详细编制了各项业务经费支出依据、金额、项目简介以及绩效目标。</w:t>
      </w:r>
    </w:p>
    <w:p>
      <w:pPr>
        <w:spacing w:line="580" w:lineRule="exact"/>
        <w:ind w:firstLine="640" w:firstLineChars="200"/>
        <w:rPr>
          <w:rFonts w:ascii="仿宋_GB2312" w:hAnsi="仿宋_GB2312" w:eastAsia="仿宋_GB2312" w:cs="仿宋_GB2312"/>
          <w:sz w:val="32"/>
          <w:szCs w:val="32"/>
        </w:rPr>
      </w:pPr>
      <w:r>
        <w:rPr>
          <w:rFonts w:hint="eastAsia" w:ascii="仿宋" w:hAnsi="仿宋" w:eastAsia="仿宋" w:cs="仿宋_GB2312"/>
          <w:sz w:val="32"/>
          <w:szCs w:val="32"/>
        </w:rPr>
        <w:t>2.执行管理情况。我院严格按照规定执行年度预算，201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年度部门预算实际支出数为预算的100%，201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年“三公经费”支出为</w:t>
      </w:r>
      <w:r>
        <w:rPr>
          <w:rFonts w:hint="eastAsia" w:ascii="仿宋_GB2312" w:hAnsi="仿宋_GB2312" w:eastAsia="仿宋_GB2312" w:cs="仿宋_GB2312"/>
          <w:sz w:val="32"/>
          <w:szCs w:val="32"/>
          <w:lang w:val="en-US" w:eastAsia="zh-CN"/>
        </w:rPr>
        <w:t>119.46</w:t>
      </w:r>
      <w:r>
        <w:rPr>
          <w:rFonts w:hint="eastAsia" w:ascii="仿宋" w:hAnsi="仿宋" w:eastAsia="仿宋" w:cs="仿宋_GB2312"/>
          <w:sz w:val="32"/>
          <w:szCs w:val="32"/>
        </w:rPr>
        <w:t>万元其中：公务用车运行维护费</w:t>
      </w:r>
      <w:r>
        <w:rPr>
          <w:rFonts w:hint="eastAsia" w:ascii="仿宋" w:hAnsi="仿宋" w:eastAsia="仿宋" w:cs="仿宋_GB2312"/>
          <w:sz w:val="32"/>
          <w:szCs w:val="32"/>
          <w:lang w:val="en-US" w:eastAsia="zh-CN"/>
        </w:rPr>
        <w:t>117.3</w:t>
      </w:r>
      <w:r>
        <w:rPr>
          <w:rFonts w:hint="eastAsia" w:ascii="仿宋" w:hAnsi="仿宋" w:eastAsia="仿宋" w:cs="仿宋_GB2312"/>
          <w:sz w:val="32"/>
          <w:szCs w:val="32"/>
        </w:rPr>
        <w:t>万元，公务接待费</w:t>
      </w:r>
      <w:r>
        <w:rPr>
          <w:rFonts w:hint="eastAsia" w:ascii="仿宋" w:hAnsi="仿宋" w:eastAsia="仿宋" w:cs="仿宋_GB2312"/>
          <w:sz w:val="32"/>
          <w:szCs w:val="32"/>
          <w:lang w:val="en-US" w:eastAsia="zh-CN"/>
        </w:rPr>
        <w:t>2.16</w:t>
      </w:r>
      <w:r>
        <w:rPr>
          <w:rFonts w:hint="eastAsia" w:ascii="仿宋" w:hAnsi="仿宋" w:eastAsia="仿宋" w:cs="仿宋_GB2312"/>
          <w:sz w:val="32"/>
          <w:szCs w:val="32"/>
        </w:rPr>
        <w:t>万元。</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3.综合管理情况。201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政府采购计划具体实施与备案表一致。国有资产纳入资产信息系统管理，对新增固定资产及时入账，对2016年度资产清查中毁损报废资产开展了资产处置、残值回收和资产信息系统上报资产处置报废申请工作并通过审核。根据相关法律法规，结合单位工作职能制定了《阿坝州人民检察院内部控制制度》。</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年底基本能够到达年初制定的绩效目标。</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整体绩效评价结果应用率不高。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在今后的工作中将加强预算绩效管理支出，按工作进度及时支付资金，进一步提高预算资金支出效益，切实发挥预算资金的保障功效。在预算执行中及时关注资金动态，及时调整预算。同时加强对全院干部职工对财经纪律和财经制度的学习，特别是财会人员业务知识的培训，以便更好的管理和使用预算资金。</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26"/>
          <w:rFonts w:ascii="仿宋" w:hAnsi="仿宋" w:eastAsia="仿宋"/>
          <w:b w:val="0"/>
          <w:bCs w:val="0"/>
        </w:rPr>
      </w:pPr>
      <w:bookmarkStart w:id="57" w:name="_Toc15396617"/>
      <w:r>
        <w:rPr>
          <w:rStyle w:val="26"/>
          <w:rFonts w:hint="eastAsia" w:ascii="仿宋" w:hAnsi="仿宋" w:eastAsia="仿宋"/>
          <w:b/>
          <w:bCs/>
        </w:rPr>
        <w:t>附件2</w:t>
      </w:r>
      <w:bookmarkEnd w:id="57"/>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年阿坝州人民检察院项目支出绩效评价报告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本次项目支出绩效评价选择人民监督员</w:t>
      </w:r>
      <w:r>
        <w:rPr>
          <w:rFonts w:ascii="仿宋" w:hAnsi="仿宋" w:eastAsia="仿宋" w:cs="仿宋_GB2312"/>
          <w:sz w:val="32"/>
          <w:szCs w:val="32"/>
        </w:rPr>
        <w:t>项目评价</w:t>
      </w:r>
      <w:r>
        <w:rPr>
          <w:rFonts w:hint="eastAsia" w:ascii="仿宋" w:hAnsi="仿宋" w:eastAsia="仿宋" w:cs="仿宋_GB2312"/>
          <w:sz w:val="32"/>
          <w:szCs w:val="32"/>
        </w:rPr>
        <w:t>，评价指标包括数量指标、质量</w:t>
      </w:r>
      <w:r>
        <w:rPr>
          <w:rFonts w:ascii="仿宋" w:hAnsi="仿宋" w:eastAsia="仿宋" w:cs="仿宋_GB2312"/>
          <w:sz w:val="32"/>
          <w:szCs w:val="32"/>
        </w:rPr>
        <w:t>评价指标</w:t>
      </w:r>
      <w:r>
        <w:rPr>
          <w:rFonts w:hint="eastAsia" w:ascii="仿宋" w:hAnsi="仿宋" w:eastAsia="仿宋" w:cs="仿宋_GB2312"/>
          <w:sz w:val="32"/>
          <w:szCs w:val="32"/>
        </w:rPr>
        <w:t>、时效指标等。</w:t>
      </w:r>
      <w:r>
        <w:rPr>
          <w:rFonts w:ascii="仿宋" w:hAnsi="仿宋" w:eastAsia="仿宋" w:cs="仿宋_GB2312"/>
          <w:sz w:val="32"/>
          <w:szCs w:val="32"/>
        </w:rPr>
        <w:t>评价方法</w:t>
      </w:r>
      <w:r>
        <w:rPr>
          <w:rFonts w:hint="eastAsia" w:ascii="仿宋" w:hAnsi="仿宋" w:eastAsia="仿宋" w:cs="仿宋_GB2312"/>
          <w:sz w:val="32"/>
          <w:szCs w:val="32"/>
        </w:rPr>
        <w:t>为材料抽查填写项目绩效完成情况表方法。</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人民监督员项目基本完成年初绩效目标。</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必要性和可行性分析（包括政策依据和政策完善，政策和需求的吻合程度分析），绩效目标设置情况（包括绩效目标设置的明确性和合理性）</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人民监督员分配和使用完全按照财经制度和阿坝州人民监督员工作经费管理暂行办法</w:t>
      </w:r>
      <w:r>
        <w:rPr>
          <w:rFonts w:ascii="仿宋" w:hAnsi="仿宋" w:eastAsia="仿宋" w:cs="仿宋_GB2312"/>
          <w:sz w:val="32"/>
          <w:szCs w:val="32"/>
        </w:rPr>
        <w:t>资金分配</w:t>
      </w:r>
      <w:r>
        <w:rPr>
          <w:rFonts w:hint="eastAsia" w:ascii="仿宋" w:hAnsi="仿宋" w:eastAsia="仿宋" w:cs="仿宋_GB2312"/>
          <w:sz w:val="32"/>
          <w:szCs w:val="32"/>
        </w:rPr>
        <w:t>和使用。</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8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推进司法体制改革，以健全确保依法独立公正行使检察权的监督制约机制为目标，改革人民监督员选任和管理方式，扩大人民监督员监督范围，完善人民监督员监督程序，进一步拓宽人民群众有序参与司法的渠道。指导各县（市）加强检察院人民监督员制度建设，全面提升检察院整体工作效能，全面发挥藏区人民监督员、特约检察员在依法治藏和各类案件中的作用。深入推进人民监督员工作，规范人民监督员工作流程，确保发挥人民监督员在司法办案中的监督作用。</w:t>
      </w:r>
      <w:r>
        <w:rPr>
          <w:rFonts w:ascii="仿宋" w:hAnsi="仿宋" w:eastAsia="仿宋" w:cs="仿宋_GB2312"/>
          <w:sz w:val="32"/>
          <w:szCs w:val="32"/>
        </w:rPr>
        <w:t>存在主要问题检察开放日</w:t>
      </w:r>
      <w:r>
        <w:rPr>
          <w:rFonts w:hint="eastAsia" w:ascii="仿宋" w:hAnsi="仿宋" w:eastAsia="仿宋" w:cs="仿宋_GB2312"/>
          <w:sz w:val="32"/>
          <w:szCs w:val="32"/>
        </w:rPr>
        <w:t>安排在年末，导致资金支付进度较慢。</w:t>
      </w:r>
    </w:p>
    <w:p>
      <w:pPr>
        <w:numPr>
          <w:ilvl w:val="0"/>
          <w:numId w:val="12"/>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相关措施建议</w:t>
      </w:r>
    </w:p>
    <w:p>
      <w:pPr>
        <w:spacing w:line="580" w:lineRule="exact"/>
        <w:ind w:left="420" w:leftChars="200" w:firstLine="640" w:firstLineChars="200"/>
        <w:rPr>
          <w:rFonts w:ascii="仿宋" w:hAnsi="仿宋" w:eastAsia="仿宋" w:cs="仿宋_GB2312"/>
          <w:sz w:val="32"/>
          <w:szCs w:val="32"/>
        </w:rPr>
      </w:pPr>
      <w:r>
        <w:rPr>
          <w:rFonts w:hint="eastAsia" w:ascii="仿宋" w:hAnsi="仿宋" w:eastAsia="仿宋" w:cs="仿宋_GB2312"/>
          <w:sz w:val="32"/>
          <w:szCs w:val="32"/>
        </w:rPr>
        <w:t>提前安排，提早谋划资金使用计划，培训计划最好安排在年中，方便资金支付进度提升。</w:t>
      </w:r>
    </w:p>
    <w:p>
      <w:pPr>
        <w:spacing w:line="580" w:lineRule="exact"/>
        <w:ind w:left="420" w:leftChars="200"/>
        <w:rPr>
          <w:rFonts w:ascii="仿宋" w:hAnsi="仿宋" w:eastAsia="仿宋" w:cs="仿宋_GB2312"/>
          <w:sz w:val="32"/>
          <w:szCs w:val="32"/>
        </w:rPr>
      </w:pPr>
    </w:p>
    <w:p>
      <w:pPr>
        <w:spacing w:line="580" w:lineRule="exact"/>
        <w:ind w:left="420" w:leftChars="200"/>
        <w:rPr>
          <w:rFonts w:ascii="仿宋" w:hAnsi="仿宋" w:eastAsia="仿宋" w:cs="仿宋_GB2312"/>
          <w:sz w:val="32"/>
          <w:szCs w:val="32"/>
        </w:rPr>
      </w:pPr>
    </w:p>
    <w:p>
      <w:pPr>
        <w:spacing w:line="600" w:lineRule="exact"/>
        <w:jc w:val="center"/>
        <w:outlineLvl w:val="0"/>
        <w:rPr>
          <w:rFonts w:hint="eastAsia" w:ascii="黑体" w:hAnsi="黑体" w:eastAsia="黑体"/>
          <w:color w:val="000000"/>
          <w:sz w:val="44"/>
          <w:szCs w:val="44"/>
        </w:rPr>
      </w:pPr>
      <w:bookmarkStart w:id="58"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rPr>
        <w:t>五部分 附表</w:t>
      </w:r>
      <w:bookmarkEnd w:id="58"/>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9" w:name="_Toc15396619"/>
      <w:r>
        <w:rPr>
          <w:rFonts w:hint="eastAsia" w:ascii="仿宋" w:hAnsi="仿宋" w:eastAsia="仿宋"/>
          <w:b w:val="0"/>
          <w:color w:val="000000"/>
        </w:rPr>
        <w:t>一、收</w:t>
      </w:r>
      <w:r>
        <w:rPr>
          <w:rStyle w:val="27"/>
          <w:rFonts w:hint="eastAsia" w:ascii="仿宋" w:hAnsi="仿宋" w:eastAsia="仿宋"/>
          <w:b/>
          <w:bCs/>
        </w:rPr>
        <w:t>入支出决算总表</w:t>
      </w:r>
      <w:bookmarkEnd w:id="59"/>
    </w:p>
    <w:p>
      <w:pPr>
        <w:pStyle w:val="3"/>
        <w:rPr>
          <w:rFonts w:ascii="仿宋" w:hAnsi="仿宋" w:eastAsia="仿宋"/>
          <w:color w:val="000000"/>
        </w:rPr>
      </w:pPr>
      <w:bookmarkStart w:id="60" w:name="_Toc15396620"/>
      <w:r>
        <w:rPr>
          <w:rFonts w:hint="eastAsia" w:ascii="仿宋" w:hAnsi="仿宋" w:eastAsia="仿宋"/>
          <w:b w:val="0"/>
          <w:color w:val="000000"/>
        </w:rPr>
        <w:t>二、收</w:t>
      </w:r>
      <w:r>
        <w:rPr>
          <w:rStyle w:val="27"/>
          <w:rFonts w:hint="eastAsia" w:ascii="仿宋" w:hAnsi="仿宋" w:eastAsia="仿宋"/>
          <w:b/>
          <w:bCs/>
        </w:rPr>
        <w:t>入总表</w:t>
      </w:r>
      <w:bookmarkEnd w:id="60"/>
    </w:p>
    <w:p>
      <w:pPr>
        <w:pStyle w:val="3"/>
        <w:rPr>
          <w:rFonts w:ascii="仿宋" w:hAnsi="仿宋" w:eastAsia="仿宋"/>
          <w:color w:val="000000"/>
        </w:rPr>
      </w:pPr>
      <w:bookmarkStart w:id="61" w:name="_Toc15396621"/>
      <w:r>
        <w:rPr>
          <w:rStyle w:val="27"/>
          <w:rFonts w:hint="eastAsia" w:ascii="仿宋" w:hAnsi="仿宋" w:eastAsia="仿宋"/>
          <w:b/>
          <w:bCs/>
        </w:rPr>
        <w:t>三、</w:t>
      </w:r>
      <w:r>
        <w:rPr>
          <w:rFonts w:hint="eastAsia" w:ascii="仿宋" w:hAnsi="仿宋" w:eastAsia="仿宋"/>
          <w:b w:val="0"/>
          <w:color w:val="000000"/>
        </w:rPr>
        <w:t>支</w:t>
      </w:r>
      <w:r>
        <w:rPr>
          <w:rStyle w:val="27"/>
          <w:rFonts w:hint="eastAsia" w:ascii="仿宋" w:hAnsi="仿宋" w:eastAsia="仿宋"/>
          <w:b/>
          <w:bCs/>
        </w:rPr>
        <w:t>出总表</w:t>
      </w:r>
      <w:bookmarkEnd w:id="61"/>
    </w:p>
    <w:p>
      <w:pPr>
        <w:pStyle w:val="3"/>
        <w:rPr>
          <w:rFonts w:ascii="仿宋" w:hAnsi="仿宋" w:eastAsia="仿宋"/>
          <w:b w:val="0"/>
          <w:color w:val="000000"/>
        </w:rPr>
      </w:pPr>
      <w:bookmarkStart w:id="62" w:name="_Toc15396622"/>
      <w:r>
        <w:rPr>
          <w:rStyle w:val="27"/>
          <w:rFonts w:hint="eastAsia" w:ascii="仿宋" w:hAnsi="仿宋" w:eastAsia="仿宋"/>
          <w:b/>
          <w:bCs/>
        </w:rPr>
        <w:t>四、</w:t>
      </w:r>
      <w:r>
        <w:rPr>
          <w:rFonts w:hint="eastAsia" w:ascii="仿宋" w:hAnsi="仿宋" w:eastAsia="仿宋"/>
          <w:b w:val="0"/>
          <w:color w:val="000000"/>
        </w:rPr>
        <w:t>财</w:t>
      </w:r>
      <w:r>
        <w:rPr>
          <w:rStyle w:val="27"/>
          <w:rFonts w:hint="eastAsia" w:ascii="仿宋" w:hAnsi="仿宋" w:eastAsia="仿宋"/>
          <w:b/>
          <w:bCs/>
        </w:rPr>
        <w:t>政拨款收入支出决算总表</w:t>
      </w:r>
      <w:bookmarkEnd w:id="62"/>
    </w:p>
    <w:p>
      <w:pPr>
        <w:pStyle w:val="3"/>
        <w:rPr>
          <w:rFonts w:ascii="仿宋" w:hAnsi="仿宋" w:eastAsia="仿宋"/>
          <w:color w:val="000000"/>
        </w:rPr>
      </w:pPr>
      <w:bookmarkStart w:id="63" w:name="_Toc15396623"/>
      <w:r>
        <w:rPr>
          <w:rStyle w:val="27"/>
          <w:rFonts w:hint="eastAsia" w:ascii="仿宋" w:hAnsi="仿宋" w:eastAsia="仿宋"/>
          <w:b/>
          <w:bCs/>
        </w:rPr>
        <w:t>五、</w:t>
      </w:r>
      <w:r>
        <w:rPr>
          <w:rFonts w:hint="eastAsia" w:ascii="仿宋" w:hAnsi="仿宋" w:eastAsia="仿宋"/>
          <w:b w:val="0"/>
          <w:color w:val="000000"/>
        </w:rPr>
        <w:t>财</w:t>
      </w:r>
      <w:r>
        <w:rPr>
          <w:rStyle w:val="27"/>
          <w:rFonts w:hint="eastAsia" w:ascii="仿宋" w:hAnsi="仿宋" w:eastAsia="仿宋"/>
          <w:b/>
          <w:bCs/>
        </w:rPr>
        <w:t>政拨款支出决算明细表（政府经济分类科目）</w:t>
      </w:r>
      <w:bookmarkEnd w:id="63"/>
    </w:p>
    <w:p>
      <w:pPr>
        <w:pStyle w:val="3"/>
        <w:rPr>
          <w:rFonts w:ascii="仿宋" w:hAnsi="仿宋" w:eastAsia="仿宋"/>
          <w:color w:val="000000"/>
        </w:rPr>
      </w:pPr>
      <w:bookmarkStart w:id="64" w:name="_Toc15396624"/>
      <w:r>
        <w:rPr>
          <w:rStyle w:val="27"/>
          <w:rFonts w:hint="eastAsia" w:ascii="仿宋" w:hAnsi="仿宋" w:eastAsia="仿宋"/>
          <w:b/>
          <w:bCs/>
        </w:rPr>
        <w:t>六、</w:t>
      </w:r>
      <w:r>
        <w:rPr>
          <w:rFonts w:hint="eastAsia" w:ascii="仿宋" w:hAnsi="仿宋" w:eastAsia="仿宋"/>
          <w:b w:val="0"/>
          <w:color w:val="000000"/>
        </w:rPr>
        <w:t>一</w:t>
      </w:r>
      <w:r>
        <w:rPr>
          <w:rStyle w:val="27"/>
          <w:rFonts w:hint="eastAsia" w:ascii="仿宋" w:hAnsi="仿宋" w:eastAsia="仿宋"/>
          <w:b/>
          <w:bCs/>
        </w:rPr>
        <w:t>般公共预算财政拨款支出决算表</w:t>
      </w:r>
      <w:bookmarkEnd w:id="64"/>
    </w:p>
    <w:p>
      <w:pPr>
        <w:pStyle w:val="3"/>
        <w:rPr>
          <w:rFonts w:ascii="仿宋" w:hAnsi="仿宋" w:eastAsia="仿宋"/>
          <w:color w:val="000000"/>
        </w:rPr>
      </w:pPr>
      <w:bookmarkStart w:id="65" w:name="_Toc15396625"/>
      <w:r>
        <w:rPr>
          <w:rStyle w:val="27"/>
          <w:rFonts w:hint="eastAsia" w:ascii="仿宋" w:hAnsi="仿宋" w:eastAsia="仿宋"/>
          <w:b/>
          <w:bCs/>
        </w:rPr>
        <w:t>七、</w:t>
      </w:r>
      <w:r>
        <w:rPr>
          <w:rFonts w:hint="eastAsia" w:ascii="仿宋" w:hAnsi="仿宋" w:eastAsia="仿宋"/>
          <w:b w:val="0"/>
          <w:color w:val="000000"/>
        </w:rPr>
        <w:t>一</w:t>
      </w:r>
      <w:r>
        <w:rPr>
          <w:rStyle w:val="27"/>
          <w:rFonts w:hint="eastAsia" w:ascii="仿宋" w:hAnsi="仿宋" w:eastAsia="仿宋"/>
          <w:b/>
          <w:bCs/>
        </w:rPr>
        <w:t>般公共预算财政拨款支出决算明细表</w:t>
      </w:r>
      <w:bookmarkEnd w:id="65"/>
    </w:p>
    <w:p>
      <w:pPr>
        <w:pStyle w:val="3"/>
        <w:rPr>
          <w:rFonts w:ascii="仿宋" w:hAnsi="仿宋" w:eastAsia="仿宋"/>
          <w:color w:val="000000"/>
        </w:rPr>
      </w:pPr>
      <w:bookmarkStart w:id="66" w:name="_Toc15396626"/>
      <w:r>
        <w:rPr>
          <w:rStyle w:val="27"/>
          <w:rFonts w:hint="eastAsia" w:ascii="仿宋" w:hAnsi="仿宋" w:eastAsia="仿宋"/>
          <w:b/>
          <w:bCs/>
        </w:rPr>
        <w:t>八、</w:t>
      </w:r>
      <w:r>
        <w:rPr>
          <w:rFonts w:hint="eastAsia" w:ascii="仿宋" w:hAnsi="仿宋" w:eastAsia="仿宋"/>
          <w:b w:val="0"/>
          <w:color w:val="000000"/>
        </w:rPr>
        <w:t>一</w:t>
      </w:r>
      <w:r>
        <w:rPr>
          <w:rStyle w:val="27"/>
          <w:rFonts w:hint="eastAsia" w:ascii="仿宋" w:hAnsi="仿宋" w:eastAsia="仿宋"/>
          <w:b/>
          <w:bCs/>
        </w:rPr>
        <w:t>般公共预算财政拨款基本支出决算表</w:t>
      </w:r>
      <w:bookmarkEnd w:id="66"/>
    </w:p>
    <w:p>
      <w:pPr>
        <w:pStyle w:val="3"/>
        <w:rPr>
          <w:rFonts w:ascii="仿宋" w:hAnsi="仿宋" w:eastAsia="仿宋"/>
          <w:color w:val="000000"/>
        </w:rPr>
      </w:pPr>
      <w:bookmarkStart w:id="67" w:name="_Toc15396627"/>
      <w:r>
        <w:rPr>
          <w:rStyle w:val="27"/>
          <w:rFonts w:hint="eastAsia" w:ascii="仿宋" w:hAnsi="仿宋" w:eastAsia="仿宋"/>
          <w:b/>
          <w:bCs/>
        </w:rPr>
        <w:t>九、</w:t>
      </w:r>
      <w:r>
        <w:rPr>
          <w:rFonts w:hint="eastAsia" w:ascii="仿宋" w:hAnsi="仿宋" w:eastAsia="仿宋"/>
          <w:b w:val="0"/>
          <w:color w:val="000000"/>
        </w:rPr>
        <w:t>一</w:t>
      </w:r>
      <w:r>
        <w:rPr>
          <w:rStyle w:val="27"/>
          <w:rFonts w:hint="eastAsia" w:ascii="仿宋" w:hAnsi="仿宋" w:eastAsia="仿宋"/>
          <w:b/>
          <w:bCs/>
        </w:rPr>
        <w:t>般公共预算财政拨款项目支出决算表</w:t>
      </w:r>
      <w:bookmarkEnd w:id="67"/>
    </w:p>
    <w:p>
      <w:pPr>
        <w:pStyle w:val="3"/>
        <w:rPr>
          <w:rFonts w:ascii="仿宋" w:hAnsi="仿宋" w:eastAsia="仿宋"/>
          <w:color w:val="000000"/>
        </w:rPr>
      </w:pPr>
      <w:bookmarkStart w:id="68" w:name="_Toc15396628"/>
      <w:r>
        <w:rPr>
          <w:rStyle w:val="27"/>
          <w:rFonts w:hint="eastAsia" w:ascii="仿宋" w:hAnsi="仿宋" w:eastAsia="仿宋"/>
          <w:b/>
          <w:bCs/>
        </w:rPr>
        <w:t>十、</w:t>
      </w:r>
      <w:r>
        <w:rPr>
          <w:rFonts w:hint="eastAsia" w:ascii="仿宋" w:hAnsi="仿宋" w:eastAsia="仿宋"/>
          <w:b w:val="0"/>
          <w:color w:val="000000"/>
        </w:rPr>
        <w:t>一</w:t>
      </w:r>
      <w:r>
        <w:rPr>
          <w:rStyle w:val="27"/>
          <w:rFonts w:hint="eastAsia" w:ascii="仿宋" w:hAnsi="仿宋" w:eastAsia="仿宋"/>
          <w:b/>
          <w:bCs/>
        </w:rPr>
        <w:t>般公共预算财政拨款“三公”经费支出决算表</w:t>
      </w:r>
      <w:bookmarkEnd w:id="68"/>
    </w:p>
    <w:p>
      <w:pPr>
        <w:pStyle w:val="3"/>
        <w:rPr>
          <w:rFonts w:ascii="仿宋" w:hAnsi="仿宋" w:eastAsia="仿宋"/>
          <w:color w:val="000000"/>
        </w:rPr>
      </w:pPr>
      <w:bookmarkStart w:id="69" w:name="_Toc15396629"/>
      <w:r>
        <w:rPr>
          <w:rStyle w:val="27"/>
          <w:rFonts w:hint="eastAsia" w:ascii="仿宋" w:hAnsi="仿宋" w:eastAsia="仿宋"/>
          <w:b/>
          <w:bCs/>
        </w:rPr>
        <w:t>十一、</w:t>
      </w:r>
      <w:r>
        <w:rPr>
          <w:rFonts w:hint="eastAsia" w:ascii="仿宋" w:hAnsi="仿宋" w:eastAsia="仿宋"/>
          <w:b w:val="0"/>
          <w:color w:val="000000"/>
        </w:rPr>
        <w:t>政</w:t>
      </w:r>
      <w:r>
        <w:rPr>
          <w:rStyle w:val="27"/>
          <w:rFonts w:hint="eastAsia" w:ascii="仿宋" w:hAnsi="仿宋" w:eastAsia="仿宋"/>
          <w:b/>
          <w:bCs/>
        </w:rPr>
        <w:t>府性基金预算财政拨款收入支出决算表</w:t>
      </w:r>
      <w:bookmarkEnd w:id="69"/>
    </w:p>
    <w:p>
      <w:pPr>
        <w:pStyle w:val="3"/>
        <w:rPr>
          <w:rFonts w:ascii="仿宋" w:hAnsi="仿宋" w:eastAsia="仿宋"/>
          <w:color w:val="000000"/>
        </w:rPr>
      </w:pPr>
      <w:bookmarkStart w:id="70" w:name="_Toc15396630"/>
      <w:r>
        <w:rPr>
          <w:rStyle w:val="27"/>
          <w:rFonts w:hint="eastAsia" w:ascii="仿宋" w:hAnsi="仿宋" w:eastAsia="仿宋"/>
          <w:b/>
          <w:bCs/>
        </w:rPr>
        <w:t>十二、</w:t>
      </w:r>
      <w:r>
        <w:rPr>
          <w:rFonts w:hint="eastAsia" w:ascii="仿宋" w:hAnsi="仿宋" w:eastAsia="仿宋"/>
          <w:b w:val="0"/>
          <w:color w:val="000000"/>
        </w:rPr>
        <w:t>政</w:t>
      </w:r>
      <w:r>
        <w:rPr>
          <w:rStyle w:val="27"/>
          <w:rFonts w:hint="eastAsia" w:ascii="仿宋" w:hAnsi="仿宋" w:eastAsia="仿宋"/>
          <w:b/>
          <w:bCs/>
        </w:rPr>
        <w:t>府性基金预算财政拨款“三公”经费支出决算表</w:t>
      </w:r>
      <w:bookmarkEnd w:id="70"/>
    </w:p>
    <w:p>
      <w:pPr>
        <w:pStyle w:val="3"/>
        <w:rPr>
          <w:rFonts w:ascii="仿宋" w:hAnsi="仿宋" w:eastAsia="仿宋"/>
          <w:color w:val="000000" w:themeColor="text1"/>
          <w14:textFill>
            <w14:solidFill>
              <w14:schemeClr w14:val="tx1"/>
            </w14:solidFill>
          </w14:textFill>
        </w:rPr>
      </w:pPr>
      <w:bookmarkStart w:id="71" w:name="_Toc15396631"/>
      <w:r>
        <w:rPr>
          <w:rStyle w:val="27"/>
          <w:rFonts w:hint="eastAsia" w:ascii="仿宋" w:hAnsi="仿宋" w:eastAsia="仿宋"/>
          <w:b/>
          <w:bCs/>
        </w:rPr>
        <w:t>十三、</w:t>
      </w:r>
      <w:r>
        <w:rPr>
          <w:rFonts w:hint="eastAsia" w:ascii="仿宋" w:hAnsi="仿宋" w:eastAsia="仿宋"/>
          <w:b w:val="0"/>
          <w:color w:val="000000"/>
        </w:rPr>
        <w:t>国</w:t>
      </w:r>
      <w:r>
        <w:rPr>
          <w:rStyle w:val="27"/>
          <w:rFonts w:hint="eastAsia" w:ascii="仿宋" w:hAnsi="仿宋" w:eastAsia="仿宋"/>
          <w:b/>
          <w:bCs/>
        </w:rPr>
        <w:t>有资本经营预算支出决算表</w:t>
      </w:r>
      <w:bookmarkEnd w:id="71"/>
    </w:p>
    <w:p>
      <w:pPr>
        <w:spacing w:line="580" w:lineRule="exact"/>
        <w:ind w:firstLine="420" w:firstLineChars="200"/>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Dotum">
    <w:altName w:val="Malgun Gothic"/>
    <w:panose1 w:val="020B0600000101010101"/>
    <w:charset w:val="81"/>
    <w:family w:val="modern"/>
    <w:pitch w:val="default"/>
    <w:sig w:usb0="00000000" w:usb1="00000000" w:usb2="00000010" w:usb3="00000000" w:csb0="00080000" w:csb1="00000000"/>
  </w:font>
  <w:font w:name="楷体_GB2312">
    <w:altName w:val="楷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9"/>
          <w:jc w:val="center"/>
        </w:pPr>
        <w:r>
          <w:fldChar w:fldCharType="begin"/>
        </w:r>
        <w:r>
          <w:instrText xml:space="preserve">PAGE   \* MERGEFORMAT</w:instrText>
        </w:r>
        <w:r>
          <w:fldChar w:fldCharType="separate"/>
        </w:r>
        <w:r>
          <w:rPr>
            <w:lang w:val="zh-CN"/>
          </w:rPr>
          <w:t>9</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26E3066D"/>
    <w:multiLevelType w:val="singleLevel"/>
    <w:tmpl w:val="26E3066D"/>
    <w:lvl w:ilvl="0" w:tentative="0">
      <w:start w:val="3"/>
      <w:numFmt w:val="chineseCounting"/>
      <w:suff w:val="nothing"/>
      <w:lvlText w:val="%1、"/>
      <w:lvlJc w:val="left"/>
    </w:lvl>
  </w:abstractNum>
  <w:abstractNum w:abstractNumId="7">
    <w:nsid w:val="5D84956D"/>
    <w:multiLevelType w:val="singleLevel"/>
    <w:tmpl w:val="5D84956D"/>
    <w:lvl w:ilvl="0" w:tentative="0">
      <w:start w:val="1"/>
      <w:numFmt w:val="decimal"/>
      <w:lvlText w:val="%1."/>
      <w:lvlJc w:val="left"/>
      <w:pPr>
        <w:tabs>
          <w:tab w:val="left" w:pos="312"/>
        </w:tabs>
      </w:pPr>
    </w:lvl>
  </w:abstractNum>
  <w:abstractNum w:abstractNumId="8">
    <w:nsid w:val="5D84B448"/>
    <w:multiLevelType w:val="singleLevel"/>
    <w:tmpl w:val="5D84B448"/>
    <w:lvl w:ilvl="0" w:tentative="0">
      <w:start w:val="2"/>
      <w:numFmt w:val="chineseCounting"/>
      <w:suff w:val="nothing"/>
      <w:lvlText w:val="（%1）"/>
      <w:lvlJc w:val="left"/>
    </w:lvl>
  </w:abstractNum>
  <w:abstractNum w:abstractNumId="9">
    <w:nsid w:val="5D84B4D4"/>
    <w:multiLevelType w:val="singleLevel"/>
    <w:tmpl w:val="5D84B4D4"/>
    <w:lvl w:ilvl="0" w:tentative="0">
      <w:start w:val="2"/>
      <w:numFmt w:val="chineseCounting"/>
      <w:suff w:val="nothing"/>
      <w:lvlText w:val="（%1）"/>
      <w:lvlJc w:val="left"/>
    </w:lvl>
  </w:abstractNum>
  <w:abstractNum w:abstractNumId="10">
    <w:nsid w:val="5D84B880"/>
    <w:multiLevelType w:val="singleLevel"/>
    <w:tmpl w:val="5D84B880"/>
    <w:lvl w:ilvl="0" w:tentative="0">
      <w:start w:val="3"/>
      <w:numFmt w:val="chineseCounting"/>
      <w:suff w:val="nothing"/>
      <w:lvlText w:val="%1、"/>
      <w:lvlJc w:val="left"/>
    </w:lvl>
  </w:abstractNum>
  <w:abstractNum w:abstractNumId="11">
    <w:nsid w:val="7FF52B93"/>
    <w:multiLevelType w:val="multilevel"/>
    <w:tmpl w:val="7FF52B93"/>
    <w:lvl w:ilvl="0" w:tentative="0">
      <w:start w:val="1"/>
      <w:numFmt w:val="japaneseCounting"/>
      <w:lvlText w:val="%1、"/>
      <w:lvlJc w:val="left"/>
      <w:pPr>
        <w:ind w:left="672" w:hanging="672"/>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4"/>
  </w:num>
  <w:num w:numId="3">
    <w:abstractNumId w:val="7"/>
  </w:num>
  <w:num w:numId="4">
    <w:abstractNumId w:val="1"/>
  </w:num>
  <w:num w:numId="5">
    <w:abstractNumId w:val="5"/>
  </w:num>
  <w:num w:numId="6">
    <w:abstractNumId w:val="3"/>
  </w:num>
  <w:num w:numId="7">
    <w:abstractNumId w:val="0"/>
  </w:num>
  <w:num w:numId="8">
    <w:abstractNumId w:val="2"/>
  </w:num>
  <w:num w:numId="9">
    <w:abstractNumId w:val="8"/>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5FDF"/>
    <w:rsid w:val="000222C6"/>
    <w:rsid w:val="000241F2"/>
    <w:rsid w:val="0002549F"/>
    <w:rsid w:val="000408F5"/>
    <w:rsid w:val="00040D2A"/>
    <w:rsid w:val="000574EA"/>
    <w:rsid w:val="00062ED6"/>
    <w:rsid w:val="0006487A"/>
    <w:rsid w:val="00065F8F"/>
    <w:rsid w:val="000768F2"/>
    <w:rsid w:val="0009184B"/>
    <w:rsid w:val="0009593C"/>
    <w:rsid w:val="000B047F"/>
    <w:rsid w:val="000B5923"/>
    <w:rsid w:val="000B5A48"/>
    <w:rsid w:val="000B6FF3"/>
    <w:rsid w:val="000C2138"/>
    <w:rsid w:val="000C3467"/>
    <w:rsid w:val="000C3CA6"/>
    <w:rsid w:val="000D1267"/>
    <w:rsid w:val="000D1D50"/>
    <w:rsid w:val="000D4968"/>
    <w:rsid w:val="000D5782"/>
    <w:rsid w:val="000E41C0"/>
    <w:rsid w:val="000E6613"/>
    <w:rsid w:val="000E7119"/>
    <w:rsid w:val="000F1964"/>
    <w:rsid w:val="00111C63"/>
    <w:rsid w:val="00114E9B"/>
    <w:rsid w:val="00137AA1"/>
    <w:rsid w:val="0014729F"/>
    <w:rsid w:val="00157BAB"/>
    <w:rsid w:val="001654D1"/>
    <w:rsid w:val="0018106D"/>
    <w:rsid w:val="001877A7"/>
    <w:rsid w:val="00191536"/>
    <w:rsid w:val="00196687"/>
    <w:rsid w:val="001A1C8A"/>
    <w:rsid w:val="001C0962"/>
    <w:rsid w:val="001C60E8"/>
    <w:rsid w:val="001D7531"/>
    <w:rsid w:val="001E737D"/>
    <w:rsid w:val="001F0592"/>
    <w:rsid w:val="001F7506"/>
    <w:rsid w:val="002006CD"/>
    <w:rsid w:val="00202B36"/>
    <w:rsid w:val="00204B7A"/>
    <w:rsid w:val="0021101A"/>
    <w:rsid w:val="00220536"/>
    <w:rsid w:val="00235629"/>
    <w:rsid w:val="00260C38"/>
    <w:rsid w:val="002616C0"/>
    <w:rsid w:val="002662AA"/>
    <w:rsid w:val="00274A07"/>
    <w:rsid w:val="00280496"/>
    <w:rsid w:val="00284986"/>
    <w:rsid w:val="002900A4"/>
    <w:rsid w:val="00295495"/>
    <w:rsid w:val="002B2613"/>
    <w:rsid w:val="002C5797"/>
    <w:rsid w:val="002F1818"/>
    <w:rsid w:val="002F567B"/>
    <w:rsid w:val="003216A9"/>
    <w:rsid w:val="0033082B"/>
    <w:rsid w:val="00346865"/>
    <w:rsid w:val="003519CF"/>
    <w:rsid w:val="0037013F"/>
    <w:rsid w:val="00371F8B"/>
    <w:rsid w:val="00380C92"/>
    <w:rsid w:val="0039385C"/>
    <w:rsid w:val="003A484F"/>
    <w:rsid w:val="003B0BE0"/>
    <w:rsid w:val="003B0C1B"/>
    <w:rsid w:val="003B688C"/>
    <w:rsid w:val="003C0291"/>
    <w:rsid w:val="003C39AE"/>
    <w:rsid w:val="003C7B60"/>
    <w:rsid w:val="003D1FB2"/>
    <w:rsid w:val="003D66DA"/>
    <w:rsid w:val="003E1310"/>
    <w:rsid w:val="003E6F55"/>
    <w:rsid w:val="00400DF8"/>
    <w:rsid w:val="0040503F"/>
    <w:rsid w:val="00406254"/>
    <w:rsid w:val="00415873"/>
    <w:rsid w:val="004223DE"/>
    <w:rsid w:val="00434489"/>
    <w:rsid w:val="00437085"/>
    <w:rsid w:val="00443880"/>
    <w:rsid w:val="004464F4"/>
    <w:rsid w:val="00455533"/>
    <w:rsid w:val="00463918"/>
    <w:rsid w:val="00471401"/>
    <w:rsid w:val="00473F31"/>
    <w:rsid w:val="0048263A"/>
    <w:rsid w:val="00487E5D"/>
    <w:rsid w:val="00491D29"/>
    <w:rsid w:val="004934BE"/>
    <w:rsid w:val="004A6A78"/>
    <w:rsid w:val="004A711F"/>
    <w:rsid w:val="004B199D"/>
    <w:rsid w:val="004B4690"/>
    <w:rsid w:val="004C0D66"/>
    <w:rsid w:val="004D20AA"/>
    <w:rsid w:val="004E0A2D"/>
    <w:rsid w:val="004E206B"/>
    <w:rsid w:val="004E6DF7"/>
    <w:rsid w:val="004F0FBD"/>
    <w:rsid w:val="004F1D7A"/>
    <w:rsid w:val="00505A47"/>
    <w:rsid w:val="00512FDA"/>
    <w:rsid w:val="00520DA0"/>
    <w:rsid w:val="00547083"/>
    <w:rsid w:val="005664BB"/>
    <w:rsid w:val="0056674D"/>
    <w:rsid w:val="0057481D"/>
    <w:rsid w:val="0058486E"/>
    <w:rsid w:val="005D1C8B"/>
    <w:rsid w:val="005D43A8"/>
    <w:rsid w:val="005D5CED"/>
    <w:rsid w:val="005F168F"/>
    <w:rsid w:val="005F1A4C"/>
    <w:rsid w:val="005F5FC7"/>
    <w:rsid w:val="00605688"/>
    <w:rsid w:val="00606719"/>
    <w:rsid w:val="006070AF"/>
    <w:rsid w:val="00607E6C"/>
    <w:rsid w:val="006101B1"/>
    <w:rsid w:val="00612A53"/>
    <w:rsid w:val="00614E44"/>
    <w:rsid w:val="00622830"/>
    <w:rsid w:val="00630AEF"/>
    <w:rsid w:val="006325F8"/>
    <w:rsid w:val="00634C9A"/>
    <w:rsid w:val="006440E4"/>
    <w:rsid w:val="0066343B"/>
    <w:rsid w:val="00664777"/>
    <w:rsid w:val="006748A4"/>
    <w:rsid w:val="006759C4"/>
    <w:rsid w:val="00676A35"/>
    <w:rsid w:val="00683E73"/>
    <w:rsid w:val="006A3141"/>
    <w:rsid w:val="006A59E3"/>
    <w:rsid w:val="006A5E34"/>
    <w:rsid w:val="006B2422"/>
    <w:rsid w:val="006B2B9A"/>
    <w:rsid w:val="006B4A3F"/>
    <w:rsid w:val="006C1937"/>
    <w:rsid w:val="006F020C"/>
    <w:rsid w:val="007037E5"/>
    <w:rsid w:val="0070441A"/>
    <w:rsid w:val="007127B7"/>
    <w:rsid w:val="007416B6"/>
    <w:rsid w:val="00746F48"/>
    <w:rsid w:val="0075404D"/>
    <w:rsid w:val="0076182A"/>
    <w:rsid w:val="00767B7E"/>
    <w:rsid w:val="0077426B"/>
    <w:rsid w:val="007770C3"/>
    <w:rsid w:val="00784D24"/>
    <w:rsid w:val="00785FBA"/>
    <w:rsid w:val="00786E4A"/>
    <w:rsid w:val="007875EB"/>
    <w:rsid w:val="007905E1"/>
    <w:rsid w:val="0079426B"/>
    <w:rsid w:val="007A2E13"/>
    <w:rsid w:val="007D312A"/>
    <w:rsid w:val="007D3F19"/>
    <w:rsid w:val="007E23B0"/>
    <w:rsid w:val="007E7741"/>
    <w:rsid w:val="007F1991"/>
    <w:rsid w:val="007F2C2F"/>
    <w:rsid w:val="007F55FC"/>
    <w:rsid w:val="007F5665"/>
    <w:rsid w:val="00800112"/>
    <w:rsid w:val="008253BB"/>
    <w:rsid w:val="008334A5"/>
    <w:rsid w:val="008340A2"/>
    <w:rsid w:val="0083706E"/>
    <w:rsid w:val="0084091F"/>
    <w:rsid w:val="008423A5"/>
    <w:rsid w:val="00850625"/>
    <w:rsid w:val="00853718"/>
    <w:rsid w:val="00855221"/>
    <w:rsid w:val="00860645"/>
    <w:rsid w:val="00871F71"/>
    <w:rsid w:val="008722C3"/>
    <w:rsid w:val="00885AF4"/>
    <w:rsid w:val="008939CD"/>
    <w:rsid w:val="008B3617"/>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0245"/>
    <w:rsid w:val="00982EF2"/>
    <w:rsid w:val="00984D29"/>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0DAB"/>
    <w:rsid w:val="00A91760"/>
    <w:rsid w:val="00A93B00"/>
    <w:rsid w:val="00A93C21"/>
    <w:rsid w:val="00AC3C6A"/>
    <w:rsid w:val="00AD5620"/>
    <w:rsid w:val="00AD7C1B"/>
    <w:rsid w:val="00AE16BA"/>
    <w:rsid w:val="00AE1EBE"/>
    <w:rsid w:val="00AF7691"/>
    <w:rsid w:val="00B03C9D"/>
    <w:rsid w:val="00B060AE"/>
    <w:rsid w:val="00B10517"/>
    <w:rsid w:val="00B14E76"/>
    <w:rsid w:val="00B161B8"/>
    <w:rsid w:val="00B2048C"/>
    <w:rsid w:val="00B24A2B"/>
    <w:rsid w:val="00B310B9"/>
    <w:rsid w:val="00B35F3F"/>
    <w:rsid w:val="00B36CBB"/>
    <w:rsid w:val="00B425E0"/>
    <w:rsid w:val="00B440AA"/>
    <w:rsid w:val="00B44B70"/>
    <w:rsid w:val="00B501B6"/>
    <w:rsid w:val="00B53C56"/>
    <w:rsid w:val="00B56DFD"/>
    <w:rsid w:val="00B77EA6"/>
    <w:rsid w:val="00B81598"/>
    <w:rsid w:val="00B841F1"/>
    <w:rsid w:val="00B944D6"/>
    <w:rsid w:val="00BB0682"/>
    <w:rsid w:val="00BB4DF0"/>
    <w:rsid w:val="00BC289F"/>
    <w:rsid w:val="00BC5361"/>
    <w:rsid w:val="00BC5460"/>
    <w:rsid w:val="00BC6B50"/>
    <w:rsid w:val="00BD0E25"/>
    <w:rsid w:val="00BD0E2B"/>
    <w:rsid w:val="00BD3FB1"/>
    <w:rsid w:val="00BF1B53"/>
    <w:rsid w:val="00BF5BD6"/>
    <w:rsid w:val="00C03E31"/>
    <w:rsid w:val="00C159EF"/>
    <w:rsid w:val="00C20612"/>
    <w:rsid w:val="00C33E72"/>
    <w:rsid w:val="00C354B2"/>
    <w:rsid w:val="00C35554"/>
    <w:rsid w:val="00C42709"/>
    <w:rsid w:val="00C42CC4"/>
    <w:rsid w:val="00C533CC"/>
    <w:rsid w:val="00C5751C"/>
    <w:rsid w:val="00C61BFC"/>
    <w:rsid w:val="00C62B85"/>
    <w:rsid w:val="00C65438"/>
    <w:rsid w:val="00C759ED"/>
    <w:rsid w:val="00C87E7E"/>
    <w:rsid w:val="00C90266"/>
    <w:rsid w:val="00C91CBB"/>
    <w:rsid w:val="00CC09B6"/>
    <w:rsid w:val="00CC666F"/>
    <w:rsid w:val="00CD1E3F"/>
    <w:rsid w:val="00CD359A"/>
    <w:rsid w:val="00CE44F6"/>
    <w:rsid w:val="00CE49DA"/>
    <w:rsid w:val="00CE61C9"/>
    <w:rsid w:val="00CE7B61"/>
    <w:rsid w:val="00D00095"/>
    <w:rsid w:val="00D12650"/>
    <w:rsid w:val="00D20620"/>
    <w:rsid w:val="00D26091"/>
    <w:rsid w:val="00D33A28"/>
    <w:rsid w:val="00D34E7C"/>
    <w:rsid w:val="00D35489"/>
    <w:rsid w:val="00D51276"/>
    <w:rsid w:val="00D7035F"/>
    <w:rsid w:val="00DA0A2C"/>
    <w:rsid w:val="00DA65AC"/>
    <w:rsid w:val="00DB1913"/>
    <w:rsid w:val="00DC410D"/>
    <w:rsid w:val="00DC68CA"/>
    <w:rsid w:val="00DC7CBA"/>
    <w:rsid w:val="00DD73B7"/>
    <w:rsid w:val="00DD7FD3"/>
    <w:rsid w:val="00DF28BC"/>
    <w:rsid w:val="00DF34B9"/>
    <w:rsid w:val="00DF4922"/>
    <w:rsid w:val="00DF6059"/>
    <w:rsid w:val="00E01053"/>
    <w:rsid w:val="00E06589"/>
    <w:rsid w:val="00E07ACF"/>
    <w:rsid w:val="00E1284A"/>
    <w:rsid w:val="00E15D63"/>
    <w:rsid w:val="00E331A1"/>
    <w:rsid w:val="00E33202"/>
    <w:rsid w:val="00E336A9"/>
    <w:rsid w:val="00E50624"/>
    <w:rsid w:val="00E53DD6"/>
    <w:rsid w:val="00E568DF"/>
    <w:rsid w:val="00E64269"/>
    <w:rsid w:val="00E82267"/>
    <w:rsid w:val="00EA010F"/>
    <w:rsid w:val="00EB567A"/>
    <w:rsid w:val="00ED1B63"/>
    <w:rsid w:val="00ED3C1F"/>
    <w:rsid w:val="00ED4085"/>
    <w:rsid w:val="00ED420E"/>
    <w:rsid w:val="00EE2F57"/>
    <w:rsid w:val="00EF4C34"/>
    <w:rsid w:val="00EF77C6"/>
    <w:rsid w:val="00F01988"/>
    <w:rsid w:val="00F05438"/>
    <w:rsid w:val="00F1104D"/>
    <w:rsid w:val="00F1361C"/>
    <w:rsid w:val="00F160C7"/>
    <w:rsid w:val="00F36D8F"/>
    <w:rsid w:val="00F417B1"/>
    <w:rsid w:val="00F47FB2"/>
    <w:rsid w:val="00F568EB"/>
    <w:rsid w:val="00F602DF"/>
    <w:rsid w:val="00F81FD9"/>
    <w:rsid w:val="00F841AA"/>
    <w:rsid w:val="00FA23E8"/>
    <w:rsid w:val="00FB41FE"/>
    <w:rsid w:val="00FC599D"/>
    <w:rsid w:val="00FD3CC1"/>
    <w:rsid w:val="00FF1E02"/>
    <w:rsid w:val="00FF2426"/>
    <w:rsid w:val="00FF30B4"/>
    <w:rsid w:val="04B23965"/>
    <w:rsid w:val="0EF22FA1"/>
    <w:rsid w:val="10C055FF"/>
    <w:rsid w:val="16BB723D"/>
    <w:rsid w:val="1815023F"/>
    <w:rsid w:val="240371BF"/>
    <w:rsid w:val="29FD04D3"/>
    <w:rsid w:val="319F7F4E"/>
    <w:rsid w:val="3B4270C8"/>
    <w:rsid w:val="530A7726"/>
    <w:rsid w:val="5D3647D6"/>
    <w:rsid w:val="69C50BC1"/>
    <w:rsid w:val="72520A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Body Text"/>
    <w:basedOn w:val="1"/>
    <w:link w:val="23"/>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jc w:val="left"/>
    </w:pPr>
    <w:rPr>
      <w:rFonts w:ascii="Calibri" w:hAnsi="Calibri"/>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2"/>
    <w:qFormat/>
    <w:uiPriority w:val="9"/>
    <w:rPr>
      <w:rFonts w:ascii="Times New Roman" w:hAnsi="Times New Roman"/>
      <w:b/>
      <w:bCs/>
      <w:kern w:val="44"/>
      <w:sz w:val="44"/>
      <w:szCs w:val="44"/>
    </w:rPr>
  </w:style>
  <w:style w:type="character" w:customStyle="1" w:styleId="27">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4"/>
    <w:qFormat/>
    <w:uiPriority w:val="9"/>
    <w:rPr>
      <w:rFonts w:ascii="Times New Roman" w:hAnsi="Times New Roman"/>
      <w:b/>
      <w:bCs/>
      <w:kern w:val="2"/>
      <w:sz w:val="32"/>
      <w:szCs w:val="32"/>
    </w:rPr>
  </w:style>
  <w:style w:type="paragraph" w:customStyle="1" w:styleId="31">
    <w:name w:val="正文1"/>
    <w:qFormat/>
    <w:uiPriority w:val="0"/>
    <w:pPr>
      <w:widowControl w:val="0"/>
      <w:jc w:val="both"/>
    </w:pPr>
    <w:rPr>
      <w:rFonts w:ascii="Times New Roman" w:hAnsi="Times New Roman" w:eastAsia="宋体" w:cs="Times New Roman"/>
      <w:sz w:val="21"/>
      <w:lang w:val="en-US" w:eastAsia="zh-CN" w:bidi="ar-SA"/>
    </w:rPr>
  </w:style>
  <w:style w:type="paragraph" w:customStyle="1" w:styleId="3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36130;&#21153;\2019&#24180;\&#38468;&#20214;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36130;&#21153;\2019&#24180;\&#38468;&#20214;1.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oleObject" Target="file:///F:\&#36130;&#21153;\2019&#24180;\&#38468;&#20214;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36130;&#21153;\2019&#24180;\&#38468;&#20214;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36130;&#21153;\2019&#24180;\&#38468;&#20214;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1.1</a:t>
            </a:r>
            <a:r>
              <a:rPr altLang="en-US"/>
              <a:t>收入决算总计变动情况图</a:t>
            </a:r>
            <a:endParaRPr altLang="en-US"/>
          </a:p>
        </c:rich>
      </c:tx>
      <c:layout>
        <c:manualLayout>
          <c:xMode val="edge"/>
          <c:yMode val="edge"/>
          <c:x val="0.221455277538108"/>
          <c:y val="0.0340239591516104"/>
        </c:manualLayout>
      </c:layout>
      <c:overlay val="0"/>
      <c:spPr>
        <a:noFill/>
        <a:ln>
          <a:noFill/>
        </a:ln>
        <a:effectLst/>
      </c:spPr>
    </c:title>
    <c:autoTitleDeleted val="0"/>
    <c:plotArea>
      <c:layout>
        <c:manualLayout>
          <c:layoutTarget val="inner"/>
          <c:xMode val="edge"/>
          <c:yMode val="edge"/>
          <c:x val="0.090307736554501"/>
          <c:y val="0.212506546216287"/>
          <c:w val="0.718147828587863"/>
          <c:h val="0.611442786069652"/>
        </c:manualLayout>
      </c:layout>
      <c:barChart>
        <c:barDir val="col"/>
        <c:grouping val="clustered"/>
        <c:varyColors val="0"/>
        <c:ser>
          <c:idx val="0"/>
          <c:order val="0"/>
          <c:tx>
            <c:strRef>
              <c:f>"2019年"</c:f>
              <c:strCache>
                <c:ptCount val="1"/>
                <c:pt idx="0">
                  <c:v>2019年</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3404.39</a:t>
                    </a:r>
                    <a:endParaRPr lang="en-US" altLang="zh-CN"/>
                  </a:p>
                  <a:p>
                    <a:pPr defTabSz="914400">
                      <a:defRPr lang="zh-CN" sz="1000" b="0" i="0" u="none" strike="noStrike" kern="1200" baseline="0">
                        <a:solidFill>
                          <a:schemeClr val="tx1"/>
                        </a:solidFill>
                        <a:latin typeface="+mn-lt"/>
                        <a:ea typeface="+mn-ea"/>
                        <a:cs typeface="+mn-cs"/>
                      </a:defRPr>
                    </a:pP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numRef>
              <c:f>[1]Sheet1!$C$34:$D$34</c:f>
              <c:numCache>
                <c:formatCode>General</c:formatCode>
                <c:ptCount val="2"/>
                <c:pt idx="0">
                  <c:v>0</c:v>
                </c:pt>
                <c:pt idx="1">
                  <c:v>0</c:v>
                </c:pt>
              </c:numCache>
            </c:numRef>
          </c:cat>
          <c:val>
            <c:numRef>
              <c:f>{2865.91}</c:f>
              <c:numCache>
                <c:formatCode>General</c:formatCode>
                <c:ptCount val="1"/>
                <c:pt idx="0">
                  <c:v>2865.91</c:v>
                </c:pt>
              </c:numCache>
            </c:numRef>
          </c:val>
        </c:ser>
        <c:ser>
          <c:idx val="1"/>
          <c:order val="1"/>
          <c:tx>
            <c:strRef>
              <c:f>"2018年"</c:f>
              <c:strCache>
                <c:ptCount val="1"/>
                <c:pt idx="0">
                  <c:v>2018年</c:v>
                </c:pt>
              </c:strCache>
            </c:strRef>
          </c:tx>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2969.21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{2928.81}</c:f>
              <c:numCache>
                <c:formatCode>General</c:formatCode>
                <c:ptCount val="1"/>
                <c:pt idx="0">
                  <c:v>2928.81</c:v>
                </c:pt>
              </c:numCache>
            </c:numRef>
          </c:val>
        </c:ser>
        <c:dLbls>
          <c:showLegendKey val="0"/>
          <c:showVal val="0"/>
          <c:showCatName val="0"/>
          <c:showSerName val="0"/>
          <c:showPercent val="0"/>
          <c:showBubbleSize val="0"/>
        </c:dLbls>
        <c:gapWidth val="150"/>
        <c:axId val="150764928"/>
        <c:axId val="150766720"/>
      </c:barChart>
      <c:catAx>
        <c:axId val="15076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766720"/>
        <c:crossesAt val="0"/>
        <c:auto val="1"/>
        <c:lblAlgn val="ctr"/>
        <c:lblOffset val="100"/>
        <c:noMultiLvlLbl val="0"/>
      </c:catAx>
      <c:valAx>
        <c:axId val="150766720"/>
        <c:scaling>
          <c:orientation val="minMax"/>
          <c:max val="3500"/>
          <c:min val="2500"/>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0764928"/>
        <c:crosses val="autoZero"/>
        <c:crossBetween val="between"/>
      </c:valAx>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1.2</a:t>
            </a:r>
            <a:r>
              <a:rPr altLang="en-US"/>
              <a:t>支出决算总计变动情况图</a:t>
            </a:r>
            <a:endParaRPr altLang="en-US"/>
          </a:p>
        </c:rich>
      </c:tx>
      <c:layout>
        <c:manualLayout>
          <c:xMode val="edge"/>
          <c:yMode val="edge"/>
          <c:x val="0.214552775381076"/>
          <c:y val="0.0307344854673999"/>
        </c:manualLayout>
      </c:layout>
      <c:overlay val="0"/>
      <c:spPr>
        <a:noFill/>
        <a:ln>
          <a:noFill/>
        </a:ln>
        <a:effectLst/>
      </c:spPr>
    </c:title>
    <c:autoTitleDeleted val="0"/>
    <c:plotArea>
      <c:layout>
        <c:manualLayout>
          <c:layoutTarget val="inner"/>
          <c:xMode val="edge"/>
          <c:yMode val="edge"/>
          <c:x val="0.0822756253938698"/>
          <c:y val="0.209242552544728"/>
          <c:w val="0.718147828587863"/>
          <c:h val="0.611442786069652"/>
        </c:manualLayout>
      </c:layout>
      <c:barChart>
        <c:barDir val="col"/>
        <c:grouping val="clustered"/>
        <c:varyColors val="0"/>
        <c:ser>
          <c:idx val="0"/>
          <c:order val="0"/>
          <c:tx>
            <c:strRef>
              <c:f>"2019年"</c:f>
              <c:strCache>
                <c:ptCount val="1"/>
                <c:pt idx="0">
                  <c:v>2019年</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3404.39</a:t>
                    </a:r>
                    <a:endParaRPr lang="en-US" altLang="zh-CN"/>
                  </a:p>
                  <a:p>
                    <a:pPr defTabSz="914400">
                      <a:defRPr lang="zh-CN" sz="1000" b="0" i="0" u="none" strike="noStrike" kern="1200" baseline="0">
                        <a:solidFill>
                          <a:schemeClr val="tx1"/>
                        </a:solidFill>
                        <a:latin typeface="+mn-lt"/>
                        <a:ea typeface="+mn-ea"/>
                        <a:cs typeface="+mn-cs"/>
                      </a:defRPr>
                    </a:pP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numRef>
              <c:f>[1]Sheet1!$C$34:$D$34</c:f>
              <c:numCache>
                <c:formatCode>General</c:formatCode>
                <c:ptCount val="2"/>
                <c:pt idx="0">
                  <c:v>0</c:v>
                </c:pt>
                <c:pt idx="1">
                  <c:v>0</c:v>
                </c:pt>
              </c:numCache>
            </c:numRef>
          </c:cat>
          <c:val>
            <c:numRef>
              <c:f>{2865.91}</c:f>
              <c:numCache>
                <c:formatCode>General</c:formatCode>
                <c:ptCount val="1"/>
                <c:pt idx="0">
                  <c:v>2865.91</c:v>
                </c:pt>
              </c:numCache>
            </c:numRef>
          </c:val>
        </c:ser>
        <c:ser>
          <c:idx val="1"/>
          <c:order val="1"/>
          <c:tx>
            <c:strRef>
              <c:f>"2018年"</c:f>
              <c:strCache>
                <c:ptCount val="1"/>
                <c:pt idx="0">
                  <c:v>2018年</c:v>
                </c:pt>
              </c:strCache>
            </c:strRef>
          </c:tx>
          <c:invertIfNegative val="0"/>
          <c:dLbls>
            <c:dLbl>
              <c:idx val="0"/>
              <c:layout>
                <c:manualLayout>
                  <c:x val="-0.00172562553925798"/>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3136.52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{2928.81}</c:f>
              <c:numCache>
                <c:formatCode>General</c:formatCode>
                <c:ptCount val="1"/>
                <c:pt idx="0">
                  <c:v>2928.81</c:v>
                </c:pt>
              </c:numCache>
            </c:numRef>
          </c:val>
        </c:ser>
        <c:dLbls>
          <c:showLegendKey val="0"/>
          <c:showVal val="0"/>
          <c:showCatName val="0"/>
          <c:showSerName val="0"/>
          <c:showPercent val="0"/>
          <c:showBubbleSize val="0"/>
        </c:dLbls>
        <c:gapWidth val="150"/>
        <c:axId val="150764928"/>
        <c:axId val="150766720"/>
      </c:barChart>
      <c:catAx>
        <c:axId val="15076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766720"/>
        <c:crossesAt val="0"/>
        <c:auto val="1"/>
        <c:lblAlgn val="ctr"/>
        <c:lblOffset val="100"/>
        <c:noMultiLvlLbl val="0"/>
      </c:catAx>
      <c:valAx>
        <c:axId val="150766720"/>
        <c:scaling>
          <c:orientation val="minMax"/>
          <c:max val="3500"/>
          <c:min val="2500"/>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0764928"/>
        <c:crosses val="autoZero"/>
        <c:crossBetween val="between"/>
      </c:valAx>
      <c:spPr>
        <a:noFill/>
        <a:ln>
          <a:noFill/>
        </a:ln>
        <a:effectLst/>
      </c:spPr>
    </c:plotArea>
    <c:legend>
      <c:legendPos val="r"/>
      <c:layout>
        <c:manualLayout>
          <c:xMode val="edge"/>
          <c:yMode val="edge"/>
          <c:x val="0.756663376110563"/>
          <c:y val="0.421700223713647"/>
          <c:w val="0.239634748272458"/>
          <c:h val="0.27209172259507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0978241520387987"/>
          <c:y val="0.36823578870823"/>
          <c:w val="0.804351695922403"/>
          <c:h val="0.511724670779789"/>
        </c:manualLayout>
      </c:layout>
      <c:pieChart>
        <c:varyColors val="1"/>
        <c:ser>
          <c:idx val="0"/>
          <c:order val="0"/>
          <c:tx>
            <c:strRef>
              <c:f>Sheet1!$A$2</c:f>
              <c:strCache>
                <c:ptCount val="1"/>
                <c:pt idx="0">
                  <c:v>全年收入</c:v>
                </c:pt>
              </c:strCache>
            </c:strRef>
          </c:tx>
          <c:explosion val="0"/>
          <c:dPt>
            <c:idx val="0"/>
            <c:bubble3D val="0"/>
          </c:dPt>
          <c:dPt>
            <c:idx val="1"/>
            <c:bubble3D val="0"/>
          </c:dPt>
          <c:dLbls>
            <c:dLbl>
              <c:idx val="0"/>
              <c:layout>
                <c:manualLayout>
                  <c:x val="0.00719345248302847"/>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全年收入, 一般公共预算财政拨款收入, </a:t>
                    </a:r>
                    <a:r>
                      <a:rPr lang="en-US" altLang="zh-CN"/>
                      <a:t>3404.39</a:t>
                    </a:r>
                    <a:r>
                      <a:rPr altLang="en-US"/>
                      <a:t>万元 </a:t>
                    </a:r>
                    <a:r>
                      <a:rPr lang="en-US" altLang="zh-CN"/>
                      <a:t>100</a:t>
                    </a:r>
                    <a:r>
                      <a:t>%</a:t>
                    </a:r>
                  </a:p>
                </c:rich>
              </c:tx>
              <c:dLblPos val="bestFit"/>
              <c:showLegendKey val="0"/>
              <c:showVal val="1"/>
              <c:showCatName val="1"/>
              <c:showSerName val="1"/>
              <c:showPercent val="1"/>
              <c:showBubbleSize val="0"/>
              <c:extLst>
                <c:ext xmlns:c15="http://schemas.microsoft.com/office/drawing/2012/chart" uri="{CE6537A1-D6FC-4f65-9D91-7224C49458BB}">
                  <c15:layout/>
                </c:ext>
              </c:extLst>
            </c:dLbl>
            <c:dLbl>
              <c:idx val="1"/>
              <c:layout>
                <c:manualLayout>
                  <c:x val="-0.220226156701511"/>
                  <c:y val="-0.048691072706820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其他收入, </a:t>
                    </a:r>
                    <a:r>
                      <a:rPr lang="en-US" altLang="zh-CN"/>
                      <a:t>0</a:t>
                    </a:r>
                    <a:r>
                      <a:rPr altLang="en-US"/>
                      <a:t>万元</a:t>
                    </a:r>
                    <a:endParaRPr altLang="en-US"/>
                  </a:p>
                  <a:p>
                    <a:pPr defTabSz="914400">
                      <a:defRPr lang="zh-CN" sz="1000" b="0" i="0" u="none" strike="noStrike" kern="1200" baseline="0">
                        <a:solidFill>
                          <a:schemeClr val="tx1"/>
                        </a:solidFill>
                        <a:latin typeface="+mn-lt"/>
                        <a:ea typeface="+mn-ea"/>
                        <a:cs typeface="+mn-cs"/>
                      </a:defRPr>
                    </a:pPr>
                    <a:r>
                      <a:rPr lang="en-US" altLang="zh-CN"/>
                      <a:t>0</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Sheet1!$B$1:$C$1</c:f>
              <c:strCache>
                <c:ptCount val="2"/>
                <c:pt idx="0">
                  <c:v>一般公共预算财政拨款收入</c:v>
                </c:pt>
                <c:pt idx="1">
                  <c:v>其他收入</c:v>
                </c:pt>
              </c:strCache>
            </c:strRef>
          </c:cat>
          <c:val>
            <c:numRef>
              <c:f>Sheet1!$B$2:$C$2</c:f>
              <c:numCache>
                <c:formatCode>General</c:formatCode>
                <c:ptCount val="2"/>
                <c:pt idx="0">
                  <c:v>2618.93</c:v>
                </c:pt>
                <c:pt idx="1">
                  <c:v>20.73</c:v>
                </c:pt>
              </c:numCache>
            </c:numRef>
          </c:val>
        </c:ser>
        <c:ser>
          <c:idx val="1"/>
          <c:order val="1"/>
          <c:tx>
            <c:strRef>
              <c:f>Sheet1!$A$3</c:f>
              <c:strCache>
                <c:ptCount val="1"/>
                <c:pt idx="0">
                  <c:v/>
                </c:pt>
              </c:strCache>
            </c:strRef>
          </c:tx>
          <c:explosion val="0"/>
          <c:dPt>
            <c:idx val="0"/>
            <c:bubble3D val="0"/>
          </c:dPt>
          <c:dPt>
            <c:idx val="1"/>
            <c:bubble3D val="0"/>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Sheet1!$B$1:$C$1</c:f>
              <c:strCache>
                <c:ptCount val="2"/>
                <c:pt idx="0">
                  <c:v>一般公共预算财政拨款收入</c:v>
                </c:pt>
                <c:pt idx="1">
                  <c:v>其他收入</c:v>
                </c:pt>
              </c:strCache>
            </c:strRef>
          </c:cat>
          <c:val>
            <c:numRef>
              <c:f>Sheet1!$B$3:$C$3</c:f>
              <c:numCache>
                <c:formatCode>General</c:formatCode>
                <c:ptCount val="2"/>
              </c:numCache>
            </c:numRef>
          </c:val>
        </c:ser>
        <c:ser>
          <c:idx val="2"/>
          <c:order val="2"/>
          <c:tx>
            <c:strRef>
              <c:f>Sheet1!$A$4</c:f>
              <c:strCache>
                <c:ptCount val="1"/>
                <c:pt idx="0">
                  <c:v/>
                </c:pt>
              </c:strCache>
            </c:strRef>
          </c:tx>
          <c:explosion val="0"/>
          <c:dPt>
            <c:idx val="0"/>
            <c:bubble3D val="0"/>
          </c:dPt>
          <c:dPt>
            <c:idx val="1"/>
            <c:bubble3D val="0"/>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Sheet1!$B$1:$C$1</c:f>
              <c:strCache>
                <c:ptCount val="2"/>
                <c:pt idx="0">
                  <c:v>一般公共预算财政拨款收入</c:v>
                </c:pt>
                <c:pt idx="1">
                  <c:v>其他收入</c:v>
                </c:pt>
              </c:strCache>
            </c:strRef>
          </c:cat>
          <c:val>
            <c:numRef>
              <c:f>Sheet1!$B$4:$C$4</c:f>
              <c:numCache>
                <c:formatCode>General</c:formatCode>
                <c:ptCount val="2"/>
              </c:numCache>
            </c:numRef>
          </c:val>
        </c:ser>
        <c:dLbls>
          <c:showLegendKey val="0"/>
          <c:showVal val="0"/>
          <c:showCatName val="1"/>
          <c:showSerName val="0"/>
          <c:showPercent val="1"/>
          <c:showBubbleSize val="0"/>
          <c:showLeaderLines val="1"/>
        </c:dLbls>
        <c:firstSliceAng val="15"/>
      </c:pieChart>
      <c:spPr>
        <a:noFill/>
        <a:ln>
          <a:noFill/>
        </a:ln>
        <a:effectLst/>
      </c:spPr>
    </c:plotArea>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Sheet1!$A$2</c:f>
              <c:strCache>
                <c:ptCount val="1"/>
                <c:pt idx="0">
                  <c:v>全年支出</c:v>
                </c:pt>
              </c:strCache>
            </c:strRef>
          </c:tx>
          <c:explosion val="0"/>
          <c:dPt>
            <c:idx val="0"/>
            <c:bubble3D val="0"/>
          </c:dPt>
          <c:dPt>
            <c:idx val="1"/>
            <c:bubble3D val="0"/>
          </c:dPt>
          <c:dLbls>
            <c:dLbl>
              <c:idx val="0"/>
              <c:layout>
                <c:manualLayout>
                  <c:x val="-0.0816993464052288"/>
                  <c:y val="-0.16551724137931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基本支出</a:t>
                    </a:r>
                    <a:r>
                      <a:rPr lang="en-US" altLang="zh-CN"/>
                      <a:t>2503.63</a:t>
                    </a:r>
                    <a:r>
                      <a:rPr altLang="en-US"/>
                      <a:t>万元</a:t>
                    </a:r>
                    <a:r>
                      <a:t>, 8</a:t>
                    </a:r>
                    <a:r>
                      <a:rPr lang="en-US" altLang="zh-CN"/>
                      <a:t>9.76</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93464052287582"/>
                  <c:y val="0.12528735632183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项目支出, ¥</a:t>
                    </a:r>
                    <a:r>
                      <a:rPr lang="en-US" altLang="zh-CN"/>
                      <a:t>285.68</a:t>
                    </a:r>
                    <a:r>
                      <a:rPr altLang="en-US"/>
                      <a:t>万元</a:t>
                    </a:r>
                    <a:endParaRPr altLang="en-US"/>
                  </a:p>
                  <a:p>
                    <a:pPr defTabSz="914400">
                      <a:defRPr lang="zh-CN" sz="1000" b="0" i="0" u="none" strike="noStrike" kern="1200" baseline="0">
                        <a:solidFill>
                          <a:schemeClr val="tx1"/>
                        </a:solidFill>
                        <a:latin typeface="+mn-lt"/>
                        <a:ea typeface="+mn-ea"/>
                        <a:cs typeface="+mn-cs"/>
                      </a:defRPr>
                    </a:pPr>
                    <a:r>
                      <a:t>, </a:t>
                    </a:r>
                    <a:r>
                      <a:rPr lang="en-US" altLang="zh-CN"/>
                      <a:t>10.24</a:t>
                    </a:r>
                    <a:r>
                      <a:t>%</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198039215686275"/>
                      <c:h val="0.224712643678161"/>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Sheet1!$B$1:$C$1</c:f>
              <c:strCache>
                <c:ptCount val="2"/>
                <c:pt idx="0">
                  <c:v>基本支出</c:v>
                </c:pt>
                <c:pt idx="1">
                  <c:v>项目支出</c:v>
                </c:pt>
              </c:strCache>
            </c:strRef>
          </c:cat>
          <c:val>
            <c:numRef>
              <c:f>Sheet1!$B$2:$C$2</c:f>
              <c:numCache>
                <c:formatCode>\¥#,##0.00;\¥\-#,##0.00</c:formatCode>
                <c:ptCount val="2"/>
                <c:pt idx="0">
                  <c:v>2627.92</c:v>
                </c:pt>
                <c:pt idx="1">
                  <c:v>508.61</c:v>
                </c:pt>
              </c:numCache>
            </c:numRef>
          </c:val>
        </c:ser>
        <c:ser>
          <c:idx val="1"/>
          <c:order val="1"/>
          <c:tx>
            <c:strRef>
              <c:f>Sheet1!$A$3</c:f>
              <c:strCache>
                <c:ptCount val="1"/>
                <c:pt idx="0">
                  <c:v/>
                </c:pt>
              </c:strCache>
            </c:strRef>
          </c:tx>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Sheet1!$B$1:$C$1</c:f>
              <c:strCache>
                <c:ptCount val="2"/>
                <c:pt idx="0">
                  <c:v>基本支出</c:v>
                </c:pt>
                <c:pt idx="1">
                  <c:v>项目支出</c:v>
                </c:pt>
              </c:strCache>
            </c:strRef>
          </c:cat>
          <c:val>
            <c:numRef>
              <c:f>Sheet1!$B$3:$C$3</c:f>
              <c:numCache>
                <c:formatCode>General</c:formatCode>
                <c:ptCount val="2"/>
              </c:numCache>
            </c:numRef>
          </c:val>
        </c:ser>
        <c:ser>
          <c:idx val="2"/>
          <c:order val="2"/>
          <c:tx>
            <c:strRef>
              <c:f>Sheet1!$A$4</c:f>
              <c:strCache>
                <c:ptCount val="1"/>
                <c:pt idx="0">
                  <c:v/>
                </c:pt>
              </c:strCache>
            </c:strRef>
          </c:tx>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Sheet1!$B$1:$C$1</c:f>
              <c:strCache>
                <c:ptCount val="2"/>
                <c:pt idx="0">
                  <c:v>基本支出</c:v>
                </c:pt>
                <c:pt idx="1">
                  <c:v>项目支出</c:v>
                </c:pt>
              </c:strCache>
            </c:strRef>
          </c:cat>
          <c:val>
            <c:numRef>
              <c:f>Sheet1!$B$4:$C$4</c:f>
              <c:numCache>
                <c:formatCode>General</c:formatCode>
                <c:ptCount val="2"/>
              </c:numCache>
            </c:numRef>
          </c:val>
        </c:ser>
        <c:dLbls>
          <c:showLegendKey val="0"/>
          <c:showVal val="0"/>
          <c:showCatName val="1"/>
          <c:showSerName val="0"/>
          <c:showPercent val="1"/>
          <c:showBubbleSize val="0"/>
          <c:showLeaderLines val="1"/>
        </c:dLbls>
        <c:firstSliceAng val="15"/>
      </c:pieChart>
      <c:spPr>
        <a:noFill/>
        <a:ln>
          <a:noFill/>
        </a:ln>
        <a:effectLst/>
      </c:spPr>
    </c:plotArea>
    <c:plotVisOnly val="1"/>
    <c:dispBlanksAs val="zero"/>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4.1.</a:t>
            </a:r>
            <a:r>
              <a:rPr altLang="en-US"/>
              <a:t>财政拨款收入决算总计图</a:t>
            </a:r>
            <a:endParaRPr altLang="en-US"/>
          </a:p>
        </c:rich>
      </c:tx>
      <c:layout/>
      <c:overlay val="0"/>
      <c:spPr>
        <a:noFill/>
        <a:ln>
          <a:noFill/>
        </a:ln>
        <a:effectLst/>
      </c:spPr>
    </c:title>
    <c:autoTitleDeleted val="0"/>
    <c:plotArea>
      <c:layout/>
      <c:barChart>
        <c:barDir val="col"/>
        <c:grouping val="clustered"/>
        <c:varyColors val="0"/>
        <c:ser>
          <c:idx val="0"/>
          <c:order val="0"/>
          <c:tx>
            <c:strRef>
              <c:f>"2019年"</c:f>
              <c:strCache>
                <c:ptCount val="1"/>
                <c:pt idx="0">
                  <c:v>2019年</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[1]Sheet1!$C$34:$D$34</c:f>
              <c:numCache>
                <c:formatCode>General</c:formatCode>
                <c:ptCount val="2"/>
                <c:pt idx="0">
                  <c:v>0</c:v>
                </c:pt>
                <c:pt idx="1">
                  <c:v>0</c:v>
                </c:pt>
              </c:numCache>
            </c:numRef>
          </c:cat>
          <c:val>
            <c:numRef>
              <c:f>{2865.91}</c:f>
              <c:numCache>
                <c:formatCode>General</c:formatCode>
                <c:ptCount val="1"/>
                <c:pt idx="0">
                  <c:v>2865.91</c:v>
                </c:pt>
              </c:numCache>
            </c:numRef>
          </c:val>
        </c:ser>
        <c:ser>
          <c:idx val="1"/>
          <c:order val="1"/>
          <c:tx>
            <c:strRef>
              <c:f>"2018年"</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{2928.81}</c:f>
              <c:numCache>
                <c:formatCode>General</c:formatCode>
                <c:ptCount val="1"/>
                <c:pt idx="0">
                  <c:v>2928.81</c:v>
                </c:pt>
              </c:numCache>
            </c:numRef>
          </c:val>
        </c:ser>
        <c:dLbls>
          <c:showLegendKey val="0"/>
          <c:showVal val="0"/>
          <c:showCatName val="0"/>
          <c:showSerName val="0"/>
          <c:showPercent val="0"/>
          <c:showBubbleSize val="0"/>
        </c:dLbls>
        <c:gapWidth val="150"/>
        <c:axId val="150764928"/>
        <c:axId val="150766720"/>
      </c:barChart>
      <c:catAx>
        <c:axId val="15076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766720"/>
        <c:crosses val="autoZero"/>
        <c:auto val="1"/>
        <c:lblAlgn val="ctr"/>
        <c:lblOffset val="100"/>
        <c:noMultiLvlLbl val="0"/>
      </c:catAx>
      <c:valAx>
        <c:axId val="1507667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764928"/>
        <c:crosses val="autoZero"/>
        <c:crossBetween val="between"/>
      </c:valAx>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5.</a:t>
            </a:r>
            <a:r>
              <a:rPr altLang="en-US"/>
              <a:t>一般公共预算财政拨款支出决算变动情况</a:t>
            </a:r>
            <a:endParaRPr altLang="en-US"/>
          </a:p>
        </c:rich>
      </c:tx>
      <c:layout>
        <c:manualLayout>
          <c:xMode val="edge"/>
          <c:yMode val="edge"/>
          <c:x val="0.131111317679013"/>
          <c:y val="0.0115740740740741"/>
        </c:manualLayout>
      </c:layout>
      <c:overlay val="0"/>
      <c:spPr>
        <a:noFill/>
        <a:ln>
          <a:noFill/>
        </a:ln>
        <a:effectLst/>
      </c:spPr>
    </c:title>
    <c:autoTitleDeleted val="0"/>
    <c:plotArea>
      <c:layout/>
      <c:barChart>
        <c:barDir val="col"/>
        <c:grouping val="clustered"/>
        <c:varyColors val="0"/>
        <c:ser>
          <c:idx val="0"/>
          <c:order val="0"/>
          <c:tx>
            <c:strRef>
              <c:f>"2019年"</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[1]Sheet1!$B$26:$C$26</c:f>
              <c:numCache>
                <c:formatCode>General</c:formatCode>
                <c:ptCount val="2"/>
                <c:pt idx="0">
                  <c:v>0</c:v>
                </c:pt>
                <c:pt idx="1">
                  <c:v>0</c:v>
                </c:pt>
              </c:numCache>
            </c:numRef>
          </c:cat>
          <c:val>
            <c:numRef>
              <c:f>{2769.37}</c:f>
              <c:numCache>
                <c:formatCode>General</c:formatCode>
                <c:ptCount val="1"/>
                <c:pt idx="0">
                  <c:v>2769.37</c:v>
                </c:pt>
              </c:numCache>
            </c:numRef>
          </c:val>
        </c:ser>
        <c:ser>
          <c:idx val="1"/>
          <c:order val="1"/>
          <c:tx>
            <c:strRef>
              <c:f>"2018年"</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val>
            <c:numRef>
              <c:f>{3116.54}</c:f>
              <c:numCache>
                <c:formatCode>General</c:formatCode>
                <c:ptCount val="1"/>
                <c:pt idx="0">
                  <c:v>3116.54</c:v>
                </c:pt>
              </c:numCache>
            </c:numRef>
          </c:val>
        </c:ser>
        <c:dLbls>
          <c:showLegendKey val="0"/>
          <c:showVal val="1"/>
          <c:showCatName val="0"/>
          <c:showSerName val="0"/>
          <c:showPercent val="0"/>
          <c:showBubbleSize val="0"/>
        </c:dLbls>
        <c:gapWidth val="150"/>
        <c:axId val="150787584"/>
        <c:axId val="150789120"/>
      </c:barChart>
      <c:catAx>
        <c:axId val="15078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789120"/>
        <c:crosses val="autoZero"/>
        <c:auto val="1"/>
        <c:lblAlgn val="ctr"/>
        <c:lblOffset val="100"/>
        <c:noMultiLvlLbl val="0"/>
      </c:catAx>
      <c:valAx>
        <c:axId val="1507891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787584"/>
        <c:crosses val="autoZero"/>
        <c:crossBetween val="between"/>
      </c:valAx>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313193110732343"/>
          <c:y val="0.486844509480563"/>
          <c:w val="0.289603697325569"/>
          <c:h val="0.508443856022422"/>
        </c:manualLayout>
      </c:layout>
      <c:pieChart>
        <c:varyColors val="1"/>
        <c:ser>
          <c:idx val="0"/>
          <c:order val="0"/>
          <c:tx>
            <c:strRef>
              <c:f>图6：一般公共预算财政拨款支出决算结构</c:f>
              <c:strCache>
                <c:ptCount val="1"/>
                <c:pt idx="0">
                  <c:v>图6：一般公共预算财政拨款支出决算结构</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83.7</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7.41</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0119275369094168"/>
                  <c:y val="0.014264683336470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3.64</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448455174940627"/>
                  <c:y val="0.013142919656190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5.25</a:t>
                    </a:r>
                    <a:endParaRPr lang="en-US" altLang="zh-CN"/>
                  </a:p>
                  <a:p>
                    <a:pPr defTabSz="914400">
                      <a:defRPr lang="zh-CN" sz="1000" b="0" i="0" u="none" strike="noStrike" kern="1200" baseline="0">
                        <a:solidFill>
                          <a:schemeClr val="tx1"/>
                        </a:solidFill>
                        <a:latin typeface="+mn-lt"/>
                        <a:ea typeface="+mn-ea"/>
                        <a:cs typeface="+mn-cs"/>
                      </a:defRPr>
                    </a:pP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{"公共安全支出","社会保障和就业","医疗卫生与计划生育支出","住房保障支出"}</c:f>
              <c:strCache>
                <c:ptCount val="4"/>
                <c:pt idx="0">
                  <c:v>公共安全支出</c:v>
                </c:pt>
                <c:pt idx="1">
                  <c:v>社会保障和就业</c:v>
                </c:pt>
                <c:pt idx="2">
                  <c:v>医疗卫生与计划生育支出</c:v>
                </c:pt>
                <c:pt idx="3">
                  <c:v>住房保障支出</c:v>
                </c:pt>
              </c:strCache>
            </c:strRef>
          </c:cat>
          <c:val>
            <c:numRef>
              <c:f>{2675.28,214.16,90.89,136.21}</c:f>
              <c:numCache>
                <c:formatCode>General</c:formatCode>
                <c:ptCount val="4"/>
                <c:pt idx="0">
                  <c:v>2675.28</c:v>
                </c:pt>
                <c:pt idx="1">
                  <c:v>214.16</c:v>
                </c:pt>
                <c:pt idx="2">
                  <c:v>90.89</c:v>
                </c:pt>
                <c:pt idx="3">
                  <c:v>136.21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161202777404155"/>
          <c:y val="0.167158308751229"/>
          <c:w val="0.677594445191691"/>
          <c:h val="0.21959600182720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0"/>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图8：“三公”经费财政拨款支出结构</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677671589921807"/>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0万元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117.3</a:t>
                    </a:r>
                    <a:r>
                      <a:rPr altLang="en-US"/>
                      <a:t>万元</a:t>
                    </a:r>
                    <a:endParaRPr lang="en-US" altLang="en-US"/>
                  </a:p>
                  <a:p>
                    <a:pPr>
                      <a:defRPr lang="zh-CN" sz="1000" b="0" i="0" u="none" strike="noStrike" kern="1200" baseline="0">
                        <a:solidFill>
                          <a:schemeClr val="tx1"/>
                        </a:solidFill>
                        <a:latin typeface="+mn-lt"/>
                        <a:ea typeface="+mn-ea"/>
                        <a:cs typeface="+mn-cs"/>
                      </a:defRPr>
                    </a:pPr>
                    <a:endParaRPr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134912925197991"/>
                  <c:y val="0.0072983121635343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2.16</a:t>
                    </a:r>
                    <a:r>
                      <a:rPr altLang="en-US"/>
                      <a:t>万元</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[工作簿1]Sheet1!$A$14:$C$14</c:f>
              <c:strCache>
                <c:ptCount val="3"/>
                <c:pt idx="0">
                  <c:v>因公出国（境）费</c:v>
                </c:pt>
                <c:pt idx="1">
                  <c:v>公务用车购置及运行维护费</c:v>
                </c:pt>
                <c:pt idx="2">
                  <c:v>公务接待费</c:v>
                </c:pt>
              </c:strCache>
            </c:strRef>
          </c:cat>
          <c:val>
            <c:numRef>
              <c:f>[工作簿1]Sheet1!$A$15:$C$15</c:f>
              <c:numCache>
                <c:formatCode>General</c:formatCode>
                <c:ptCount val="3"/>
                <c:pt idx="0">
                  <c:v>0</c:v>
                </c:pt>
                <c:pt idx="1">
                  <c:v>36.09</c:v>
                </c:pt>
                <c:pt idx="2">
                  <c:v>0.37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53EAF-FD35-4D1B-80C3-767394BEB9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1867</Words>
  <Characters>10646</Characters>
  <Lines>88</Lines>
  <Paragraphs>24</Paragraphs>
  <TotalTime>0</TotalTime>
  <ScaleCrop>false</ScaleCrop>
  <LinksUpToDate>false</LinksUpToDate>
  <CharactersWithSpaces>12489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2019-09-27T02:46:00Z</dcterms:created>
  <dc:creator>张彬茜</dc:creator>
  <cp:lastModifiedBy>杨永健</cp:lastModifiedBy>
  <cp:lastPrinted>2020-09-27T07:08:29Z</cp:lastPrinted>
  <dcterms:modified xsi:type="dcterms:W3CDTF">2020-09-27T07:11:40Z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