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bookmarkEnd w:id="0"/>
    <w:p>
      <w:pPr>
        <w:jc w:val="center"/>
        <w:rPr>
          <w:rFonts w:ascii="黑体" w:hAnsi="黑体" w:eastAsia="黑体"/>
          <w:sz w:val="72"/>
          <w:szCs w:val="72"/>
        </w:rPr>
      </w:pPr>
      <w:bookmarkStart w:id="1" w:name="_Toc15396597"/>
      <w:bookmarkStart w:id="2" w:name="_Toc15378441"/>
      <w:bookmarkStart w:id="3" w:name="_Toc15377425"/>
      <w:bookmarkStart w:id="4" w:name="_Toc15396475"/>
      <w:bookmarkStart w:id="5" w:name="_Toc15377193"/>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8442"/>
      <w:bookmarkStart w:id="7" w:name="_Toc15396476"/>
      <w:bookmarkStart w:id="8" w:name="_Toc15377194"/>
      <w:bookmarkStart w:id="9" w:name="_Toc15377426"/>
      <w:bookmarkStart w:id="10" w:name="_Toc15396598"/>
      <w:r>
        <w:rPr>
          <w:rFonts w:hint="eastAsia" w:ascii="方正小标宋简体" w:eastAsia="方正小标宋简体"/>
          <w:sz w:val="72"/>
          <w:szCs w:val="72"/>
        </w:rPr>
        <w:t>四川省阿坝州</w:t>
      </w:r>
      <w:bookmarkStart w:id="11" w:name="_Toc15306268"/>
      <w:r>
        <w:rPr>
          <w:rFonts w:hint="eastAsia" w:ascii="方正小标宋简体" w:eastAsia="方正小标宋简体"/>
          <w:sz w:val="72"/>
          <w:szCs w:val="72"/>
        </w:rPr>
        <w:t>人民检察院部门决算</w:t>
      </w:r>
      <w:bookmarkEnd w:id="6"/>
      <w:bookmarkEnd w:id="7"/>
      <w:bookmarkEnd w:id="8"/>
      <w:bookmarkEnd w:id="9"/>
      <w:bookmarkEnd w:id="10"/>
      <w:bookmarkEnd w:id="11"/>
    </w:p>
    <w:p>
      <w:pPr>
        <w:jc w:val="center"/>
        <w:rPr>
          <w:rFonts w:ascii="方正小标宋简体" w:eastAsia="方正小标宋简体"/>
          <w:sz w:val="52"/>
          <w:szCs w:val="52"/>
        </w:rPr>
      </w:pP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320" w:firstLineChars="1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firstLine="320" w:firstLineChars="100"/>
        <w:jc w:val="left"/>
        <w:rPr>
          <w:rFonts w:ascii="宋体" w:hAnsi="宋体"/>
          <w:sz w:val="32"/>
          <w:szCs w:val="32"/>
        </w:rPr>
      </w:pPr>
      <w:r>
        <w:rPr>
          <w:rFonts w:hint="eastAsia" w:ascii="宋体" w:hAnsi="宋体" w:cs="仿宋_GB2312"/>
          <w:sz w:val="32"/>
          <w:szCs w:val="32"/>
        </w:rPr>
        <w:t>部门主要负责人审签情况：已审签，同意对外公开</w:t>
      </w:r>
    </w:p>
    <w:p>
      <w:pPr>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1"/>
        <w:rPr>
          <w:rFonts w:hAnsiTheme="minorHAnsi"/>
          <w:sz w:val="24"/>
          <w:szCs w:val="24"/>
        </w:rPr>
      </w:pPr>
      <w:r>
        <w:rPr>
          <w:rFonts w:hint="eastAsia" w:hAnsiTheme="minorHAnsi"/>
          <w:sz w:val="24"/>
          <w:szCs w:val="24"/>
        </w:rPr>
        <w:t xml:space="preserve">公开时间：2021年 </w:t>
      </w:r>
      <w:r>
        <w:rPr>
          <w:rFonts w:hAnsiTheme="minorHAnsi"/>
          <w:sz w:val="24"/>
          <w:szCs w:val="24"/>
        </w:rPr>
        <w:t>9</w:t>
      </w:r>
      <w:r>
        <w:rPr>
          <w:rFonts w:hint="eastAsia" w:hAnsiTheme="minorHAnsi"/>
          <w:sz w:val="24"/>
          <w:szCs w:val="24"/>
        </w:rPr>
        <w:t>月18 日</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1"/>
        <w:rPr>
          <w:rFonts w:ascii="黑体" w:hAnsi="黑体" w:eastAsia="黑体" w:cs="黑体"/>
        </w:rPr>
      </w:pPr>
      <w:r>
        <w:fldChar w:fldCharType="begin"/>
      </w:r>
      <w:r>
        <w:instrText xml:space="preserve"> HYPERLINK \l "_Toc15396599" </w:instrText>
      </w:r>
      <w:r>
        <w:fldChar w:fldCharType="separate"/>
      </w:r>
      <w:r>
        <w:rPr>
          <w:rStyle w:val="17"/>
          <w:rFonts w:hint="eastAsia" w:ascii="黑体" w:hAnsi="黑体" w:eastAsia="黑体" w:cs="黑体"/>
        </w:rPr>
        <w:t>第一部分 部门概况</w:t>
      </w:r>
      <w:r>
        <w:rPr>
          <w:rFonts w:hint="eastAsia" w:ascii="黑体" w:hAnsi="黑体" w:eastAsia="黑体" w:cs="黑体"/>
        </w:rPr>
        <w:tab/>
      </w:r>
      <w:r>
        <w:rPr>
          <w:rFonts w:hint="eastAsia" w:ascii="黑体" w:hAnsi="黑体" w:eastAsia="黑体" w:cs="黑体"/>
        </w:rPr>
        <w:t>4</w:t>
      </w:r>
      <w:r>
        <w:rPr>
          <w:rFonts w:hint="eastAsia" w:ascii="黑体" w:hAnsi="黑体" w:eastAsia="黑体" w:cs="黑体"/>
        </w:rPr>
        <w:fldChar w:fldCharType="end"/>
      </w:r>
    </w:p>
    <w:p>
      <w:pPr>
        <w:pStyle w:val="12"/>
        <w:rPr>
          <w:rFonts w:ascii="黑体" w:hAnsi="黑体" w:eastAsia="黑体" w:cs="黑体"/>
          <w:sz w:val="28"/>
          <w:szCs w:val="28"/>
        </w:rPr>
      </w:pPr>
      <w:r>
        <w:fldChar w:fldCharType="begin"/>
      </w:r>
      <w:r>
        <w:instrText xml:space="preserve"> HYPERLINK \l "_Toc15396600" </w:instrText>
      </w:r>
      <w:r>
        <w:fldChar w:fldCharType="separate"/>
      </w:r>
      <w:r>
        <w:rPr>
          <w:rStyle w:val="17"/>
          <w:rFonts w:hint="eastAsia" w:ascii="黑体" w:hAnsi="黑体" w:eastAsia="黑体" w:cs="黑体"/>
          <w:sz w:val="28"/>
          <w:szCs w:val="28"/>
        </w:rPr>
        <w:t>一、基本职能及主要工作</w:t>
      </w:r>
      <w:r>
        <w:rPr>
          <w:rFonts w:hint="eastAsia" w:ascii="黑体" w:hAnsi="黑体" w:eastAsia="黑体" w:cs="黑体"/>
          <w:sz w:val="28"/>
          <w:szCs w:val="28"/>
        </w:rPr>
        <w:tab/>
      </w:r>
      <w:r>
        <w:rPr>
          <w:rFonts w:hint="eastAsia" w:ascii="黑体" w:hAnsi="黑体" w:eastAsia="黑体" w:cs="黑体"/>
          <w:sz w:val="28"/>
          <w:szCs w:val="28"/>
        </w:rPr>
        <w:t>4</w:t>
      </w:r>
      <w:r>
        <w:rPr>
          <w:rFonts w:hint="eastAsia" w:ascii="黑体" w:hAnsi="黑体" w:eastAsia="黑体" w:cs="黑体"/>
          <w:sz w:val="28"/>
          <w:szCs w:val="28"/>
        </w:rPr>
        <w:fldChar w:fldCharType="end"/>
      </w:r>
    </w:p>
    <w:p>
      <w:pPr>
        <w:pStyle w:val="7"/>
        <w:rPr>
          <w:rFonts w:ascii="仿宋" w:hAnsi="仿宋" w:eastAsia="仿宋" w:cs="仿宋"/>
          <w:sz w:val="20"/>
          <w:szCs w:val="20"/>
        </w:rPr>
      </w:pPr>
      <w:r>
        <w:rPr>
          <w:rFonts w:hint="eastAsia" w:ascii="仿宋" w:hAnsi="仿宋" w:eastAsia="仿宋" w:cs="仿宋"/>
          <w:bCs/>
          <w:color w:val="000000"/>
          <w:sz w:val="20"/>
          <w:szCs w:val="20"/>
        </w:rPr>
        <w:t>（一）主要职能。</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_Toc79163853 \h </w:instrText>
      </w:r>
      <w:r>
        <w:rPr>
          <w:rFonts w:hint="eastAsia" w:ascii="仿宋" w:hAnsi="仿宋" w:eastAsia="仿宋" w:cs="仿宋"/>
          <w:sz w:val="20"/>
          <w:szCs w:val="20"/>
        </w:rPr>
        <w:fldChar w:fldCharType="separate"/>
      </w:r>
      <w:r>
        <w:rPr>
          <w:rFonts w:hint="eastAsia" w:ascii="仿宋" w:hAnsi="仿宋" w:eastAsia="仿宋" w:cs="仿宋"/>
          <w:sz w:val="20"/>
          <w:szCs w:val="20"/>
        </w:rPr>
        <w:t>4</w:t>
      </w:r>
      <w:r>
        <w:rPr>
          <w:rFonts w:hint="eastAsia" w:ascii="仿宋" w:hAnsi="仿宋" w:eastAsia="仿宋" w:cs="仿宋"/>
          <w:sz w:val="20"/>
          <w:szCs w:val="20"/>
        </w:rPr>
        <w:fldChar w:fldCharType="end"/>
      </w:r>
    </w:p>
    <w:p>
      <w:pPr>
        <w:pStyle w:val="7"/>
      </w:pPr>
      <w:r>
        <w:rPr>
          <w:rFonts w:hint="eastAsia" w:ascii="仿宋" w:hAnsi="仿宋" w:eastAsia="仿宋" w:cs="仿宋"/>
          <w:bCs/>
          <w:color w:val="000000"/>
          <w:sz w:val="20"/>
          <w:szCs w:val="20"/>
        </w:rPr>
        <w:t>（二）2020年重点工作完成情况。</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_Toc79163854 \h </w:instrText>
      </w:r>
      <w:r>
        <w:rPr>
          <w:rFonts w:hint="eastAsia" w:ascii="仿宋" w:hAnsi="仿宋" w:eastAsia="仿宋" w:cs="仿宋"/>
          <w:sz w:val="20"/>
          <w:szCs w:val="20"/>
        </w:rPr>
        <w:fldChar w:fldCharType="separate"/>
      </w:r>
      <w:r>
        <w:rPr>
          <w:rFonts w:hint="eastAsia" w:ascii="仿宋" w:hAnsi="仿宋" w:eastAsia="仿宋" w:cs="仿宋"/>
          <w:sz w:val="20"/>
          <w:szCs w:val="20"/>
        </w:rPr>
        <w:t>4</w:t>
      </w:r>
      <w:r>
        <w:rPr>
          <w:rFonts w:hint="eastAsia" w:ascii="仿宋" w:hAnsi="仿宋" w:eastAsia="仿宋" w:cs="仿宋"/>
          <w:sz w:val="20"/>
          <w:szCs w:val="20"/>
        </w:rPr>
        <w:fldChar w:fldCharType="end"/>
      </w:r>
    </w:p>
    <w:p>
      <w:pPr>
        <w:pStyle w:val="12"/>
        <w:rPr>
          <w:rFonts w:ascii="仿宋" w:hAnsi="仿宋" w:eastAsia="仿宋" w:cstheme="minorBidi"/>
          <w:sz w:val="28"/>
          <w:szCs w:val="28"/>
        </w:rPr>
      </w:pPr>
      <w:r>
        <w:fldChar w:fldCharType="begin"/>
      </w:r>
      <w:r>
        <w:instrText xml:space="preserve"> HYPERLINK \l "_Toc15396601" </w:instrText>
      </w:r>
      <w:r>
        <w:fldChar w:fldCharType="separate"/>
      </w:r>
      <w:r>
        <w:rPr>
          <w:rStyle w:val="17"/>
          <w:rFonts w:hint="eastAsia" w:ascii="黑体" w:hAnsi="黑体" w:eastAsia="黑体" w:cs="黑体"/>
          <w:b/>
          <w:bCs/>
          <w:sz w:val="28"/>
          <w:szCs w:val="28"/>
        </w:rPr>
        <w:t>二、机构设置</w:t>
      </w:r>
      <w:r>
        <w:rPr>
          <w:rFonts w:hint="eastAsia" w:ascii="黑体" w:hAnsi="黑体" w:eastAsia="黑体" w:cs="黑体"/>
          <w:b/>
          <w:bCs/>
          <w:sz w:val="28"/>
          <w:szCs w:val="28"/>
        </w:rPr>
        <w:tab/>
      </w: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PAGEREF _Toc15396601 \h </w:instrText>
      </w:r>
      <w:r>
        <w:rPr>
          <w:rFonts w:hint="eastAsia" w:ascii="黑体" w:hAnsi="黑体" w:eastAsia="黑体" w:cs="黑体"/>
          <w:b/>
          <w:bCs/>
          <w:sz w:val="28"/>
          <w:szCs w:val="28"/>
        </w:rPr>
        <w:fldChar w:fldCharType="separate"/>
      </w:r>
      <w:r>
        <w:rPr>
          <w:rFonts w:hint="eastAsia" w:ascii="黑体" w:hAnsi="黑体" w:eastAsia="黑体" w:cs="黑体"/>
          <w:b/>
          <w:bCs/>
          <w:sz w:val="28"/>
          <w:szCs w:val="28"/>
        </w:rPr>
        <w:t>5</w:t>
      </w:r>
      <w:r>
        <w:rPr>
          <w:rFonts w:hint="eastAsia" w:ascii="黑体" w:hAnsi="黑体" w:eastAsia="黑体" w:cs="黑体"/>
          <w:b/>
          <w:bCs/>
          <w:sz w:val="28"/>
          <w:szCs w:val="28"/>
        </w:rPr>
        <w:fldChar w:fldCharType="end"/>
      </w:r>
      <w:r>
        <w:rPr>
          <w:rFonts w:hint="eastAsia" w:ascii="黑体" w:hAnsi="黑体" w:eastAsia="黑体" w:cs="黑体"/>
          <w:b/>
          <w:bCs/>
          <w:sz w:val="28"/>
          <w:szCs w:val="28"/>
        </w:rPr>
        <w:fldChar w:fldCharType="end"/>
      </w:r>
    </w:p>
    <w:p>
      <w:pPr>
        <w:pStyle w:val="11"/>
        <w:rPr>
          <w:rFonts w:ascii="黑体" w:hAnsi="黑体" w:eastAsia="黑体" w:cs="黑体"/>
        </w:rPr>
      </w:pPr>
      <w:r>
        <w:fldChar w:fldCharType="begin"/>
      </w:r>
      <w:r>
        <w:instrText xml:space="preserve"> HYPERLINK \l "_Toc15396602" </w:instrText>
      </w:r>
      <w:r>
        <w:fldChar w:fldCharType="separate"/>
      </w:r>
      <w:r>
        <w:rPr>
          <w:rStyle w:val="17"/>
          <w:rFonts w:hint="eastAsia" w:ascii="黑体" w:hAnsi="黑体" w:eastAsia="黑体" w:cs="黑体"/>
        </w:rPr>
        <w:t>第二部分 2020年度部门决算情况说明</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_Toc15396602 \h </w:instrText>
      </w:r>
      <w:r>
        <w:rPr>
          <w:rFonts w:hint="eastAsia" w:ascii="黑体" w:hAnsi="黑体" w:eastAsia="黑体" w:cs="黑体"/>
        </w:rPr>
        <w:fldChar w:fldCharType="separate"/>
      </w:r>
      <w:r>
        <w:rPr>
          <w:rFonts w:hint="eastAsia" w:ascii="黑体" w:hAnsi="黑体" w:eastAsia="黑体" w:cs="黑体"/>
        </w:rPr>
        <w:t>6</w:t>
      </w:r>
      <w:r>
        <w:rPr>
          <w:rFonts w:hint="eastAsia" w:ascii="黑体" w:hAnsi="黑体" w:eastAsia="黑体" w:cs="黑体"/>
        </w:rPr>
        <w:fldChar w:fldCharType="end"/>
      </w:r>
      <w:r>
        <w:rPr>
          <w:rFonts w:hint="eastAsia" w:ascii="黑体" w:hAnsi="黑体" w:eastAsia="黑体" w:cs="黑体"/>
        </w:rPr>
        <w:fldChar w:fldCharType="end"/>
      </w:r>
    </w:p>
    <w:p>
      <w:pPr>
        <w:pStyle w:val="12"/>
        <w:rPr>
          <w:rFonts w:ascii="仿宋" w:hAnsi="仿宋" w:eastAsia="仿宋" w:cstheme="minorBidi"/>
          <w:sz w:val="28"/>
          <w:szCs w:val="28"/>
        </w:rPr>
      </w:pPr>
      <w:r>
        <w:fldChar w:fldCharType="begin"/>
      </w:r>
      <w:r>
        <w:instrText xml:space="preserve"> HYPERLINK \l "_Toc15396603" </w:instrText>
      </w:r>
      <w:r>
        <w:fldChar w:fldCharType="separate"/>
      </w:r>
      <w:r>
        <w:rPr>
          <w:rStyle w:val="17"/>
          <w:rFonts w:hint="eastAsia" w:ascii="黑体" w:hAnsi="黑体" w:eastAsia="黑体" w:cs="黑体"/>
          <w:b/>
          <w:sz w:val="28"/>
          <w:szCs w:val="28"/>
        </w:rPr>
        <w:t>一、收入支出决算总体情况说明</w:t>
      </w:r>
      <w:r>
        <w:rPr>
          <w:rFonts w:hint="eastAsia" w:ascii="黑体" w:hAnsi="黑体" w:eastAsia="黑体" w:cs="黑体"/>
          <w:b/>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黑体" w:hAnsi="黑体" w:eastAsia="黑体" w:cs="黑体"/>
          <w:sz w:val="28"/>
          <w:szCs w:val="28"/>
        </w:rPr>
      </w:pPr>
      <w:r>
        <w:fldChar w:fldCharType="begin"/>
      </w:r>
      <w:r>
        <w:instrText xml:space="preserve"> HYPERLINK \l "_Toc15396604" </w:instrText>
      </w:r>
      <w:r>
        <w:fldChar w:fldCharType="separate"/>
      </w:r>
      <w:r>
        <w:rPr>
          <w:rStyle w:val="17"/>
          <w:rFonts w:hint="eastAsia" w:ascii="黑体" w:hAnsi="黑体" w:eastAsia="黑体" w:cs="黑体"/>
          <w:bCs/>
          <w:sz w:val="28"/>
          <w:szCs w:val="28"/>
        </w:rPr>
        <w:t>二、</w:t>
      </w:r>
      <w:r>
        <w:rPr>
          <w:rStyle w:val="17"/>
          <w:rFonts w:hint="eastAsia" w:ascii="黑体" w:hAnsi="黑体" w:eastAsia="黑体" w:cs="黑体"/>
          <w:sz w:val="28"/>
          <w:szCs w:val="28"/>
        </w:rPr>
        <w:t>收</w:t>
      </w:r>
      <w:r>
        <w:rPr>
          <w:rStyle w:val="17"/>
          <w:rFonts w:hint="eastAsia" w:ascii="黑体" w:hAnsi="黑体" w:eastAsia="黑体" w:cs="黑体"/>
          <w:bCs/>
          <w:sz w:val="28"/>
          <w:szCs w:val="28"/>
        </w:rPr>
        <w:t>入决算情况说明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_Toc15396604 \h </w:instrText>
      </w:r>
      <w:r>
        <w:rPr>
          <w:rFonts w:hint="eastAsia" w:ascii="黑体" w:hAnsi="黑体" w:eastAsia="黑体" w:cs="黑体"/>
          <w:sz w:val="28"/>
          <w:szCs w:val="28"/>
        </w:rPr>
        <w:fldChar w:fldCharType="separate"/>
      </w:r>
      <w:r>
        <w:rPr>
          <w:rFonts w:hint="eastAsia" w:ascii="黑体" w:hAnsi="黑体" w:eastAsia="黑体" w:cs="黑体"/>
          <w:sz w:val="28"/>
          <w:szCs w:val="28"/>
        </w:rPr>
        <w:t>7</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2"/>
        <w:rPr>
          <w:rFonts w:ascii="黑体" w:hAnsi="黑体" w:eastAsia="黑体" w:cs="黑体"/>
          <w:sz w:val="28"/>
          <w:szCs w:val="28"/>
        </w:rPr>
      </w:pPr>
      <w:r>
        <w:fldChar w:fldCharType="begin"/>
      </w:r>
      <w:r>
        <w:instrText xml:space="preserve"> HYPERLINK \l "_Toc15396605" </w:instrText>
      </w:r>
      <w:r>
        <w:fldChar w:fldCharType="separate"/>
      </w:r>
      <w:r>
        <w:rPr>
          <w:rStyle w:val="17"/>
          <w:rFonts w:hint="eastAsia" w:ascii="黑体" w:hAnsi="黑体" w:eastAsia="黑体" w:cs="黑体"/>
          <w:bCs/>
          <w:sz w:val="28"/>
          <w:szCs w:val="28"/>
        </w:rPr>
        <w:t>三、</w:t>
      </w:r>
      <w:r>
        <w:rPr>
          <w:rStyle w:val="17"/>
          <w:rFonts w:hint="eastAsia" w:ascii="黑体" w:hAnsi="黑体" w:eastAsia="黑体" w:cs="黑体"/>
          <w:sz w:val="28"/>
          <w:szCs w:val="28"/>
        </w:rPr>
        <w:t>支</w:t>
      </w:r>
      <w:r>
        <w:rPr>
          <w:rStyle w:val="17"/>
          <w:rFonts w:hint="eastAsia" w:ascii="黑体" w:hAnsi="黑体" w:eastAsia="黑体" w:cs="黑体"/>
          <w:bCs/>
          <w:sz w:val="28"/>
          <w:szCs w:val="28"/>
        </w:rPr>
        <w:t>出决算情况说明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_Toc15396605 \h </w:instrText>
      </w:r>
      <w:r>
        <w:rPr>
          <w:rFonts w:hint="eastAsia" w:ascii="黑体" w:hAnsi="黑体" w:eastAsia="黑体" w:cs="黑体"/>
          <w:sz w:val="28"/>
          <w:szCs w:val="28"/>
        </w:rPr>
        <w:fldChar w:fldCharType="separate"/>
      </w:r>
      <w:r>
        <w:rPr>
          <w:rFonts w:hint="eastAsia" w:ascii="黑体" w:hAnsi="黑体" w:eastAsia="黑体" w:cs="黑体"/>
          <w:sz w:val="28"/>
          <w:szCs w:val="28"/>
        </w:rPr>
        <w:t>7</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2"/>
        <w:rPr>
          <w:rFonts w:ascii="黑体" w:hAnsi="黑体" w:eastAsia="黑体" w:cs="黑体"/>
          <w:sz w:val="28"/>
          <w:szCs w:val="28"/>
        </w:rPr>
      </w:pPr>
      <w:r>
        <w:fldChar w:fldCharType="begin"/>
      </w:r>
      <w:r>
        <w:instrText xml:space="preserve"> HYPERLINK \l "_Toc15396606" </w:instrText>
      </w:r>
      <w:r>
        <w:fldChar w:fldCharType="separate"/>
      </w:r>
      <w:r>
        <w:rPr>
          <w:rStyle w:val="17"/>
          <w:rFonts w:hint="eastAsia" w:ascii="黑体" w:hAnsi="黑体" w:eastAsia="黑体" w:cs="黑体"/>
          <w:sz w:val="28"/>
          <w:szCs w:val="28"/>
        </w:rPr>
        <w:t>四、财</w:t>
      </w:r>
      <w:r>
        <w:rPr>
          <w:rStyle w:val="17"/>
          <w:rFonts w:hint="eastAsia" w:ascii="黑体" w:hAnsi="黑体" w:eastAsia="黑体" w:cs="黑体"/>
          <w:bCs/>
          <w:sz w:val="28"/>
          <w:szCs w:val="28"/>
        </w:rPr>
        <w:t>政拨款收入支出决算总体情况说明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_Toc15396606 \h </w:instrText>
      </w:r>
      <w:r>
        <w:rPr>
          <w:rFonts w:hint="eastAsia" w:ascii="黑体" w:hAnsi="黑体" w:eastAsia="黑体" w:cs="黑体"/>
          <w:sz w:val="28"/>
          <w:szCs w:val="28"/>
        </w:rPr>
        <w:fldChar w:fldCharType="separate"/>
      </w:r>
      <w:r>
        <w:rPr>
          <w:rFonts w:hint="eastAsia" w:ascii="黑体" w:hAnsi="黑体" w:eastAsia="黑体" w:cs="黑体"/>
          <w:sz w:val="28"/>
          <w:szCs w:val="28"/>
        </w:rPr>
        <w:t>8</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2"/>
        <w:rPr>
          <w:rFonts w:ascii="仿宋" w:hAnsi="仿宋" w:eastAsia="仿宋"/>
          <w:sz w:val="28"/>
          <w:szCs w:val="28"/>
        </w:rPr>
      </w:pPr>
      <w:r>
        <w:fldChar w:fldCharType="begin"/>
      </w:r>
      <w:r>
        <w:instrText xml:space="preserve"> HYPERLINK \l "_Toc15396607" </w:instrText>
      </w:r>
      <w:r>
        <w:fldChar w:fldCharType="separate"/>
      </w:r>
      <w:r>
        <w:rPr>
          <w:rStyle w:val="17"/>
          <w:rFonts w:hint="eastAsia" w:ascii="黑体" w:hAnsi="黑体" w:eastAsia="黑体" w:cs="黑体"/>
          <w:sz w:val="28"/>
          <w:szCs w:val="28"/>
        </w:rPr>
        <w:t>五、一</w:t>
      </w:r>
      <w:r>
        <w:rPr>
          <w:rStyle w:val="17"/>
          <w:rFonts w:hint="eastAsia" w:ascii="黑体" w:hAnsi="黑体" w:eastAsia="黑体" w:cs="黑体"/>
          <w:bCs/>
          <w:sz w:val="28"/>
          <w:szCs w:val="28"/>
        </w:rPr>
        <w:t>般公共预算财政拨款支出决算情况说明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_Toc15396607 \h </w:instrText>
      </w:r>
      <w:r>
        <w:rPr>
          <w:rFonts w:hint="eastAsia" w:ascii="黑体" w:hAnsi="黑体" w:eastAsia="黑体" w:cs="黑体"/>
          <w:sz w:val="28"/>
          <w:szCs w:val="28"/>
        </w:rPr>
        <w:fldChar w:fldCharType="separate"/>
      </w:r>
      <w:r>
        <w:rPr>
          <w:rFonts w:hint="eastAsia" w:ascii="黑体" w:hAnsi="黑体" w:eastAsia="黑体" w:cs="黑体"/>
          <w:sz w:val="28"/>
          <w:szCs w:val="28"/>
        </w:rPr>
        <w:t>8</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7"/>
        <w:rPr>
          <w:rFonts w:ascii="仿宋" w:hAnsi="仿宋" w:eastAsia="仿宋" w:cs="仿宋"/>
          <w:szCs w:val="22"/>
        </w:rPr>
      </w:pPr>
      <w:r>
        <w:rPr>
          <w:rFonts w:hint="eastAsia" w:ascii="仿宋" w:hAnsi="仿宋" w:eastAsia="仿宋" w:cs="仿宋"/>
          <w:b/>
          <w:color w:val="000000"/>
        </w:rPr>
        <w:t>（一）一般公共预算财政拨款支出决算总体情况</w:t>
      </w:r>
      <w:r>
        <w:rPr>
          <w:rFonts w:hint="eastAsia" w:ascii="仿宋" w:hAnsi="仿宋" w:eastAsia="仿宋" w:cs="仿宋"/>
        </w:rPr>
        <w:tab/>
      </w:r>
      <w:r>
        <w:rPr>
          <w:rFonts w:hint="eastAsia" w:ascii="仿宋" w:hAnsi="仿宋" w:eastAsia="仿宋" w:cs="仿宋"/>
        </w:rPr>
        <w:t>8</w:t>
      </w:r>
    </w:p>
    <w:p>
      <w:pPr>
        <w:pStyle w:val="7"/>
        <w:rPr>
          <w:rFonts w:ascii="仿宋" w:hAnsi="仿宋" w:eastAsia="仿宋" w:cs="仿宋"/>
          <w:szCs w:val="22"/>
        </w:rPr>
      </w:pPr>
      <w:r>
        <w:rPr>
          <w:rFonts w:hint="eastAsia" w:ascii="仿宋" w:hAnsi="仿宋" w:eastAsia="仿宋" w:cs="仿宋"/>
          <w:b/>
          <w:color w:val="000000"/>
        </w:rPr>
        <w:t>（二）一般公共预算财政拨款支出决算结构情况</w:t>
      </w:r>
      <w:r>
        <w:rPr>
          <w:rFonts w:hint="eastAsia" w:ascii="仿宋" w:hAnsi="仿宋" w:eastAsia="仿宋" w:cs="仿宋"/>
        </w:rPr>
        <w:tab/>
      </w:r>
      <w:r>
        <w:rPr>
          <w:rFonts w:hint="eastAsia" w:ascii="仿宋" w:hAnsi="仿宋" w:eastAsia="仿宋" w:cs="仿宋"/>
        </w:rPr>
        <w:t>9</w:t>
      </w:r>
    </w:p>
    <w:p>
      <w:pPr>
        <w:pStyle w:val="7"/>
        <w:rPr>
          <w:rFonts w:ascii="仿宋" w:hAnsi="仿宋" w:eastAsia="仿宋" w:cs="仿宋"/>
          <w:szCs w:val="22"/>
        </w:rPr>
      </w:pPr>
      <w:r>
        <w:rPr>
          <w:rFonts w:hint="eastAsia" w:ascii="仿宋" w:hAnsi="仿宋" w:eastAsia="仿宋" w:cs="仿宋"/>
          <w:b/>
          <w:color w:val="000000"/>
        </w:rPr>
        <w:t>（三）一般公共预算财政拨款支出决算具体情况</w:t>
      </w:r>
      <w:r>
        <w:rPr>
          <w:rFonts w:hint="eastAsia" w:ascii="仿宋" w:hAnsi="仿宋" w:eastAsia="仿宋" w:cs="仿宋"/>
        </w:rPr>
        <w:tab/>
      </w:r>
      <w:r>
        <w:rPr>
          <w:rFonts w:hint="eastAsia" w:ascii="仿宋" w:hAnsi="仿宋" w:eastAsia="仿宋" w:cs="仿宋"/>
        </w:rPr>
        <w:t>9</w:t>
      </w:r>
    </w:p>
    <w:p/>
    <w:p>
      <w:pPr>
        <w:pStyle w:val="12"/>
        <w:rPr>
          <w:rFonts w:ascii="黑体" w:hAnsi="黑体" w:eastAsia="黑体" w:cs="黑体"/>
          <w:sz w:val="28"/>
          <w:szCs w:val="28"/>
        </w:rPr>
      </w:pPr>
      <w:r>
        <w:fldChar w:fldCharType="begin"/>
      </w:r>
      <w:r>
        <w:instrText xml:space="preserve"> HYPERLINK \l "_Toc15396608" </w:instrText>
      </w:r>
      <w:r>
        <w:fldChar w:fldCharType="separate"/>
      </w:r>
      <w:r>
        <w:rPr>
          <w:rStyle w:val="17"/>
          <w:rFonts w:hint="eastAsia" w:ascii="黑体" w:hAnsi="黑体" w:eastAsia="黑体" w:cs="黑体"/>
          <w:sz w:val="28"/>
          <w:szCs w:val="28"/>
        </w:rPr>
        <w:t>六、一</w:t>
      </w:r>
      <w:r>
        <w:rPr>
          <w:rStyle w:val="17"/>
          <w:rFonts w:hint="eastAsia" w:ascii="黑体" w:hAnsi="黑体" w:eastAsia="黑体" w:cs="黑体"/>
          <w:bCs/>
          <w:sz w:val="28"/>
          <w:szCs w:val="28"/>
        </w:rPr>
        <w:t>般公共预算财政拨款基本支出决算情况说明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_Toc15396608 \h </w:instrText>
      </w:r>
      <w:r>
        <w:rPr>
          <w:rFonts w:hint="eastAsia" w:ascii="黑体" w:hAnsi="黑体" w:eastAsia="黑体" w:cs="黑体"/>
          <w:sz w:val="28"/>
          <w:szCs w:val="28"/>
        </w:rPr>
        <w:fldChar w:fldCharType="separate"/>
      </w:r>
      <w:r>
        <w:rPr>
          <w:rFonts w:hint="eastAsia" w:ascii="黑体" w:hAnsi="黑体" w:eastAsia="黑体" w:cs="黑体"/>
          <w:sz w:val="28"/>
          <w:szCs w:val="28"/>
        </w:rPr>
        <w:t>10</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2"/>
        <w:rPr>
          <w:rFonts w:ascii="黑体" w:hAnsi="黑体" w:eastAsia="黑体" w:cs="黑体"/>
          <w:sz w:val="28"/>
          <w:szCs w:val="28"/>
        </w:rPr>
      </w:pPr>
      <w:r>
        <w:fldChar w:fldCharType="begin"/>
      </w:r>
      <w:r>
        <w:instrText xml:space="preserve"> HYPERLINK \l "_Toc15396609" </w:instrText>
      </w:r>
      <w:r>
        <w:fldChar w:fldCharType="separate"/>
      </w:r>
      <w:r>
        <w:rPr>
          <w:rStyle w:val="17"/>
          <w:rFonts w:hint="eastAsia" w:ascii="黑体" w:hAnsi="黑体" w:eastAsia="黑体" w:cs="黑体"/>
          <w:sz w:val="28"/>
          <w:szCs w:val="28"/>
        </w:rPr>
        <w:t>七、“</w:t>
      </w:r>
      <w:r>
        <w:rPr>
          <w:rStyle w:val="17"/>
          <w:rFonts w:hint="eastAsia" w:ascii="黑体" w:hAnsi="黑体" w:eastAsia="黑体" w:cs="黑体"/>
          <w:bCs/>
          <w:sz w:val="28"/>
          <w:szCs w:val="28"/>
        </w:rPr>
        <w:t>三公”经费财政拨款支出决算情况说明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_Toc15396609 \h </w:instrText>
      </w:r>
      <w:r>
        <w:rPr>
          <w:rFonts w:hint="eastAsia" w:ascii="黑体" w:hAnsi="黑体" w:eastAsia="黑体" w:cs="黑体"/>
          <w:sz w:val="28"/>
          <w:szCs w:val="28"/>
        </w:rPr>
        <w:fldChar w:fldCharType="separate"/>
      </w:r>
      <w:r>
        <w:rPr>
          <w:rFonts w:hint="eastAsia" w:ascii="黑体" w:hAnsi="黑体" w:eastAsia="黑体" w:cs="黑体"/>
          <w:sz w:val="28"/>
          <w:szCs w:val="28"/>
        </w:rPr>
        <w:t>11</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7"/>
        <w:rPr>
          <w:rFonts w:ascii="仿宋" w:hAnsi="仿宋" w:eastAsia="仿宋" w:cs="仿宋"/>
          <w:szCs w:val="22"/>
        </w:rPr>
      </w:pPr>
      <w:r>
        <w:rPr>
          <w:rFonts w:hint="eastAsia" w:ascii="黑体" w:hAnsi="黑体" w:eastAsia="黑体" w:cs="黑体"/>
          <w:b/>
          <w:color w:val="000000"/>
        </w:rPr>
        <w:t>（</w:t>
      </w:r>
      <w:r>
        <w:rPr>
          <w:rFonts w:hint="eastAsia" w:ascii="仿宋" w:hAnsi="仿宋" w:eastAsia="仿宋" w:cs="仿宋"/>
          <w:b/>
          <w:color w:val="000000"/>
        </w:rPr>
        <w:t>一）“三公”经费财政拨款支出决算总体情况说明</w:t>
      </w:r>
      <w:r>
        <w:rPr>
          <w:rFonts w:hint="eastAsia" w:ascii="仿宋" w:hAnsi="仿宋" w:eastAsia="仿宋" w:cs="仿宋"/>
        </w:rPr>
        <w:tab/>
      </w:r>
      <w:r>
        <w:rPr>
          <w:rFonts w:hint="eastAsia" w:ascii="仿宋" w:hAnsi="仿宋" w:eastAsia="仿宋" w:cs="仿宋"/>
        </w:rPr>
        <w:t>11</w:t>
      </w:r>
    </w:p>
    <w:p>
      <w:pPr>
        <w:pStyle w:val="7"/>
        <w:rPr>
          <w:rFonts w:ascii="黑体" w:hAnsi="黑体" w:eastAsia="黑体" w:cs="黑体"/>
          <w:szCs w:val="22"/>
        </w:rPr>
      </w:pPr>
      <w:r>
        <w:rPr>
          <w:rFonts w:hint="eastAsia" w:ascii="仿宋" w:hAnsi="仿宋" w:eastAsia="仿宋" w:cs="仿宋"/>
          <w:b/>
          <w:color w:val="000000"/>
        </w:rPr>
        <w:t>（二）“三公”经费财政拨款支出决算具体情况说明</w:t>
      </w:r>
      <w:r>
        <w:rPr>
          <w:rFonts w:hint="eastAsia" w:ascii="仿宋" w:hAnsi="仿宋" w:eastAsia="仿宋" w:cs="仿宋"/>
        </w:rPr>
        <w:tab/>
      </w:r>
      <w:r>
        <w:rPr>
          <w:rFonts w:hint="eastAsia" w:ascii="黑体" w:hAnsi="黑体" w:eastAsia="黑体" w:cs="黑体"/>
        </w:rPr>
        <w:t>11</w:t>
      </w:r>
    </w:p>
    <w:p>
      <w:pPr>
        <w:rPr>
          <w:rFonts w:ascii="黑体" w:hAnsi="黑体" w:eastAsia="黑体" w:cs="黑体"/>
        </w:rPr>
      </w:pPr>
    </w:p>
    <w:p>
      <w:pPr>
        <w:pStyle w:val="12"/>
        <w:rPr>
          <w:rFonts w:ascii="黑体" w:hAnsi="黑体" w:eastAsia="黑体" w:cs="黑体"/>
          <w:sz w:val="28"/>
          <w:szCs w:val="28"/>
        </w:rPr>
      </w:pPr>
      <w:r>
        <w:fldChar w:fldCharType="begin"/>
      </w:r>
      <w:r>
        <w:instrText xml:space="preserve"> HYPERLINK \l "_Toc15396610" </w:instrText>
      </w:r>
      <w:r>
        <w:fldChar w:fldCharType="separate"/>
      </w:r>
      <w:r>
        <w:rPr>
          <w:rStyle w:val="17"/>
          <w:rFonts w:hint="eastAsia" w:ascii="黑体" w:hAnsi="黑体" w:eastAsia="黑体" w:cs="黑体"/>
          <w:sz w:val="28"/>
          <w:szCs w:val="28"/>
        </w:rPr>
        <w:t>八、</w:t>
      </w:r>
      <w:r>
        <w:rPr>
          <w:rStyle w:val="17"/>
          <w:rFonts w:hint="eastAsia" w:ascii="黑体" w:hAnsi="黑体" w:eastAsia="黑体" w:cs="黑体"/>
          <w:bCs/>
          <w:sz w:val="28"/>
          <w:szCs w:val="28"/>
        </w:rPr>
        <w:t>政府性基金预算支出决算情况说明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_Toc15396610 \h </w:instrText>
      </w:r>
      <w:r>
        <w:rPr>
          <w:rFonts w:hint="eastAsia" w:ascii="黑体" w:hAnsi="黑体" w:eastAsia="黑体" w:cs="黑体"/>
          <w:sz w:val="28"/>
          <w:szCs w:val="28"/>
        </w:rPr>
        <w:fldChar w:fldCharType="separate"/>
      </w:r>
      <w:r>
        <w:rPr>
          <w:rFonts w:hint="eastAsia" w:ascii="黑体" w:hAnsi="黑体" w:eastAsia="黑体" w:cs="黑体"/>
          <w:sz w:val="28"/>
          <w:szCs w:val="28"/>
        </w:rPr>
        <w:t>13</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2"/>
        <w:rPr>
          <w:rFonts w:ascii="黑体" w:hAnsi="黑体" w:eastAsia="黑体" w:cs="黑体"/>
          <w:sz w:val="28"/>
          <w:szCs w:val="28"/>
        </w:rPr>
      </w:pPr>
      <w:r>
        <w:fldChar w:fldCharType="begin"/>
      </w:r>
      <w:r>
        <w:instrText xml:space="preserve"> HYPERLINK \l "_Toc15396611" </w:instrText>
      </w:r>
      <w:r>
        <w:fldChar w:fldCharType="separate"/>
      </w:r>
      <w:r>
        <w:rPr>
          <w:rStyle w:val="17"/>
          <w:rFonts w:hint="eastAsia" w:ascii="黑体" w:hAnsi="黑体" w:eastAsia="黑体" w:cs="黑体"/>
          <w:bCs/>
          <w:sz w:val="28"/>
          <w:szCs w:val="28"/>
        </w:rPr>
        <w:t>九、</w:t>
      </w:r>
      <w:r>
        <w:rPr>
          <w:rStyle w:val="17"/>
          <w:rFonts w:hint="eastAsia" w:ascii="黑体" w:hAnsi="黑体" w:eastAsia="黑体" w:cs="黑体"/>
          <w:sz w:val="28"/>
          <w:szCs w:val="28"/>
        </w:rPr>
        <w:t>国</w:t>
      </w:r>
      <w:r>
        <w:rPr>
          <w:rStyle w:val="17"/>
          <w:rFonts w:hint="eastAsia" w:ascii="黑体" w:hAnsi="黑体" w:eastAsia="黑体" w:cs="黑体"/>
          <w:bCs/>
          <w:sz w:val="28"/>
          <w:szCs w:val="28"/>
        </w:rPr>
        <w:t>有资本经营预算支出决算情况说明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_Toc15396611 \h </w:instrText>
      </w:r>
      <w:r>
        <w:rPr>
          <w:rFonts w:hint="eastAsia" w:ascii="黑体" w:hAnsi="黑体" w:eastAsia="黑体" w:cs="黑体"/>
          <w:sz w:val="28"/>
          <w:szCs w:val="28"/>
        </w:rPr>
        <w:fldChar w:fldCharType="separate"/>
      </w:r>
      <w:r>
        <w:rPr>
          <w:rFonts w:hint="eastAsia" w:ascii="黑体" w:hAnsi="黑体" w:eastAsia="黑体" w:cs="黑体"/>
          <w:sz w:val="28"/>
          <w:szCs w:val="28"/>
        </w:rPr>
        <w:t>13</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2"/>
        <w:rPr>
          <w:rFonts w:ascii="黑体" w:hAnsi="黑体" w:eastAsia="黑体" w:cs="黑体"/>
          <w:sz w:val="28"/>
          <w:szCs w:val="28"/>
        </w:rPr>
      </w:pPr>
      <w:r>
        <w:rPr>
          <w:rFonts w:hint="eastAsia" w:ascii="黑体" w:hAnsi="黑体" w:eastAsia="黑体" w:cs="黑体"/>
          <w:sz w:val="28"/>
          <w:szCs w:val="28"/>
        </w:rPr>
        <w:t>十、</w:t>
      </w:r>
      <w:r>
        <w:fldChar w:fldCharType="begin"/>
      </w:r>
      <w:r>
        <w:instrText xml:space="preserve"> HYPERLINK \l "_Toc15396612" </w:instrText>
      </w:r>
      <w:r>
        <w:fldChar w:fldCharType="separate"/>
      </w:r>
      <w:r>
        <w:rPr>
          <w:rStyle w:val="17"/>
          <w:rFonts w:hint="eastAsia" w:ascii="黑体" w:hAnsi="黑体" w:eastAsia="黑体" w:cs="黑体"/>
          <w:bCs/>
          <w:sz w:val="28"/>
          <w:szCs w:val="28"/>
        </w:rPr>
        <w:t>其他重要事项的情况说明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_Toc15396612 \h </w:instrText>
      </w:r>
      <w:r>
        <w:rPr>
          <w:rFonts w:hint="eastAsia" w:ascii="黑体" w:hAnsi="黑体" w:eastAsia="黑体" w:cs="黑体"/>
          <w:sz w:val="28"/>
          <w:szCs w:val="28"/>
        </w:rPr>
        <w:fldChar w:fldCharType="separate"/>
      </w:r>
      <w:r>
        <w:rPr>
          <w:rFonts w:hint="eastAsia" w:ascii="黑体" w:hAnsi="黑体" w:eastAsia="黑体" w:cs="黑体"/>
          <w:sz w:val="28"/>
          <w:szCs w:val="28"/>
        </w:rPr>
        <w:t>17</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1"/>
        <w:rPr>
          <w:rFonts w:ascii="黑体" w:hAnsi="黑体" w:eastAsia="黑体" w:cs="黑体"/>
        </w:rPr>
      </w:pPr>
      <w:r>
        <w:fldChar w:fldCharType="begin"/>
      </w:r>
      <w:r>
        <w:instrText xml:space="preserve"> HYPERLINK \l "_Toc15396613" </w:instrText>
      </w:r>
      <w:r>
        <w:fldChar w:fldCharType="separate"/>
      </w:r>
      <w:r>
        <w:rPr>
          <w:rStyle w:val="17"/>
          <w:rFonts w:hint="eastAsia" w:ascii="黑体" w:hAnsi="黑体" w:eastAsia="黑体" w:cs="黑体"/>
          <w:bCs/>
          <w:kern w:val="44"/>
        </w:rPr>
        <w:t>第三部分</w:t>
      </w:r>
      <w:r>
        <w:rPr>
          <w:rStyle w:val="17"/>
          <w:rFonts w:hint="eastAsia" w:ascii="黑体" w:hAnsi="黑体" w:eastAsia="黑体" w:cs="黑体"/>
        </w:rPr>
        <w:t xml:space="preserve"> 名</w:t>
      </w:r>
      <w:r>
        <w:rPr>
          <w:rStyle w:val="17"/>
          <w:rFonts w:hint="eastAsia" w:ascii="黑体" w:hAnsi="黑体" w:eastAsia="黑体" w:cs="黑体"/>
          <w:bCs/>
          <w:kern w:val="44"/>
        </w:rPr>
        <w:t>词解释</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_Toc15396613 \h </w:instrText>
      </w:r>
      <w:r>
        <w:rPr>
          <w:rFonts w:hint="eastAsia" w:ascii="黑体" w:hAnsi="黑体" w:eastAsia="黑体" w:cs="黑体"/>
        </w:rPr>
        <w:fldChar w:fldCharType="separate"/>
      </w:r>
      <w:r>
        <w:rPr>
          <w:rFonts w:hint="eastAsia" w:ascii="黑体" w:hAnsi="黑体" w:eastAsia="黑体" w:cs="黑体"/>
        </w:rPr>
        <w:t>13</w:t>
      </w:r>
      <w:r>
        <w:rPr>
          <w:rFonts w:hint="eastAsia" w:ascii="黑体" w:hAnsi="黑体" w:eastAsia="黑体" w:cs="黑体"/>
        </w:rPr>
        <w:fldChar w:fldCharType="end"/>
      </w:r>
      <w:r>
        <w:rPr>
          <w:rFonts w:hint="eastAsia" w:ascii="黑体" w:hAnsi="黑体" w:eastAsia="黑体" w:cs="黑体"/>
        </w:rPr>
        <w:fldChar w:fldCharType="end"/>
      </w:r>
    </w:p>
    <w:p>
      <w:pPr>
        <w:pStyle w:val="11"/>
        <w:rPr>
          <w:rFonts w:ascii="黑体" w:hAnsi="黑体" w:eastAsia="黑体" w:cs="黑体"/>
        </w:rPr>
      </w:pPr>
      <w:r>
        <w:fldChar w:fldCharType="begin"/>
      </w:r>
      <w:r>
        <w:instrText xml:space="preserve"> HYPERLINK \l "_Toc15396614" </w:instrText>
      </w:r>
      <w:r>
        <w:fldChar w:fldCharType="separate"/>
      </w:r>
      <w:r>
        <w:rPr>
          <w:rStyle w:val="17"/>
          <w:rFonts w:hint="eastAsia" w:ascii="黑体" w:hAnsi="黑体" w:eastAsia="黑体" w:cs="黑体"/>
        </w:rPr>
        <w:t>第</w:t>
      </w:r>
      <w:r>
        <w:rPr>
          <w:rStyle w:val="17"/>
          <w:rFonts w:hint="eastAsia" w:ascii="黑体" w:hAnsi="黑体" w:eastAsia="黑体" w:cs="黑体"/>
          <w:bCs/>
          <w:kern w:val="44"/>
        </w:rPr>
        <w:t>四部分 附件</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_Toc15396614 \h </w:instrText>
      </w:r>
      <w:r>
        <w:rPr>
          <w:rFonts w:hint="eastAsia" w:ascii="黑体" w:hAnsi="黑体" w:eastAsia="黑体" w:cs="黑体"/>
        </w:rPr>
        <w:fldChar w:fldCharType="separate"/>
      </w:r>
      <w:r>
        <w:rPr>
          <w:rFonts w:hint="eastAsia" w:ascii="黑体" w:hAnsi="黑体" w:eastAsia="黑体" w:cs="黑体"/>
        </w:rPr>
        <w:t>21</w:t>
      </w:r>
      <w:r>
        <w:rPr>
          <w:rFonts w:hint="eastAsia" w:ascii="黑体" w:hAnsi="黑体" w:eastAsia="黑体" w:cs="黑体"/>
        </w:rPr>
        <w:fldChar w:fldCharType="end"/>
      </w:r>
      <w:r>
        <w:rPr>
          <w:rFonts w:hint="eastAsia" w:ascii="黑体" w:hAnsi="黑体" w:eastAsia="黑体" w:cs="黑体"/>
        </w:rPr>
        <w:fldChar w:fldCharType="end"/>
      </w:r>
    </w:p>
    <w:p>
      <w:pPr>
        <w:pStyle w:val="12"/>
        <w:rPr>
          <w:rFonts w:ascii="黑体" w:hAnsi="黑体" w:eastAsia="黑体" w:cs="黑体"/>
          <w:sz w:val="28"/>
          <w:szCs w:val="28"/>
        </w:rPr>
      </w:pPr>
      <w:r>
        <w:fldChar w:fldCharType="begin"/>
      </w:r>
      <w:r>
        <w:instrText xml:space="preserve"> HYPERLINK \l "_Toc15396615" </w:instrText>
      </w:r>
      <w:r>
        <w:fldChar w:fldCharType="separate"/>
      </w:r>
      <w:r>
        <w:rPr>
          <w:rStyle w:val="17"/>
          <w:rFonts w:hint="eastAsia" w:ascii="黑体" w:hAnsi="黑体" w:eastAsia="黑体" w:cs="黑体"/>
          <w:kern w:val="44"/>
          <w:sz w:val="28"/>
          <w:szCs w:val="28"/>
        </w:rPr>
        <w:t>附件1</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_Toc15396615 \h </w:instrText>
      </w:r>
      <w:r>
        <w:rPr>
          <w:rFonts w:hint="eastAsia" w:ascii="黑体" w:hAnsi="黑体" w:eastAsia="黑体" w:cs="黑体"/>
          <w:sz w:val="28"/>
          <w:szCs w:val="28"/>
        </w:rPr>
        <w:fldChar w:fldCharType="separate"/>
      </w:r>
      <w:r>
        <w:rPr>
          <w:rFonts w:hint="eastAsia" w:ascii="黑体" w:hAnsi="黑体" w:eastAsia="黑体" w:cs="黑体"/>
          <w:sz w:val="28"/>
          <w:szCs w:val="28"/>
        </w:rPr>
        <w:t>21</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2"/>
        <w:rPr>
          <w:rFonts w:ascii="黑体" w:hAnsi="黑体" w:eastAsia="黑体" w:cs="黑体"/>
          <w:sz w:val="28"/>
          <w:szCs w:val="28"/>
        </w:rPr>
      </w:pPr>
      <w:r>
        <w:fldChar w:fldCharType="begin"/>
      </w:r>
      <w:r>
        <w:instrText xml:space="preserve"> HYPERLINK \l "_Toc15396617" </w:instrText>
      </w:r>
      <w:r>
        <w:fldChar w:fldCharType="separate"/>
      </w:r>
      <w:r>
        <w:rPr>
          <w:rStyle w:val="17"/>
          <w:rFonts w:hint="eastAsia" w:ascii="黑体" w:hAnsi="黑体" w:eastAsia="黑体" w:cs="黑体"/>
          <w:kern w:val="44"/>
          <w:sz w:val="28"/>
          <w:szCs w:val="28"/>
        </w:rPr>
        <w:t>附件2</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_Toc15396617 \h </w:instrText>
      </w:r>
      <w:r>
        <w:rPr>
          <w:rFonts w:hint="eastAsia" w:ascii="黑体" w:hAnsi="黑体" w:eastAsia="黑体" w:cs="黑体"/>
          <w:sz w:val="28"/>
          <w:szCs w:val="28"/>
        </w:rPr>
        <w:fldChar w:fldCharType="separate"/>
      </w:r>
      <w:r>
        <w:rPr>
          <w:rFonts w:hint="eastAsia" w:ascii="黑体" w:hAnsi="黑体" w:eastAsia="黑体" w:cs="黑体"/>
          <w:sz w:val="28"/>
          <w:szCs w:val="28"/>
        </w:rPr>
        <w:t>24</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1"/>
        <w:rPr>
          <w:rFonts w:ascii="黑体" w:hAnsi="黑体" w:eastAsia="黑体" w:cs="黑体"/>
        </w:rPr>
      </w:pPr>
      <w:r>
        <w:fldChar w:fldCharType="begin"/>
      </w:r>
      <w:r>
        <w:instrText xml:space="preserve"> HYPERLINK \l "_Toc15396618" </w:instrText>
      </w:r>
      <w:r>
        <w:fldChar w:fldCharType="separate"/>
      </w:r>
      <w:r>
        <w:rPr>
          <w:rStyle w:val="17"/>
          <w:rFonts w:hint="eastAsia" w:ascii="黑体" w:hAnsi="黑体" w:eastAsia="黑体" w:cs="黑体"/>
        </w:rPr>
        <w:t>第</w:t>
      </w:r>
      <w:r>
        <w:rPr>
          <w:rStyle w:val="17"/>
          <w:rFonts w:hint="eastAsia" w:ascii="黑体" w:hAnsi="黑体" w:eastAsia="黑体" w:cs="黑体"/>
          <w:bCs/>
          <w:kern w:val="44"/>
        </w:rPr>
        <w:t>五部分 附表</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_Toc15396618 \h </w:instrText>
      </w:r>
      <w:r>
        <w:rPr>
          <w:rFonts w:hint="eastAsia" w:ascii="黑体" w:hAnsi="黑体" w:eastAsia="黑体" w:cs="黑体"/>
        </w:rPr>
        <w:fldChar w:fldCharType="separate"/>
      </w:r>
      <w:r>
        <w:rPr>
          <w:rFonts w:hint="eastAsia" w:ascii="黑体" w:hAnsi="黑体" w:eastAsia="黑体" w:cs="黑体"/>
        </w:rPr>
        <w:t>26</w:t>
      </w:r>
      <w:r>
        <w:rPr>
          <w:rFonts w:hint="eastAsia" w:ascii="黑体" w:hAnsi="黑体" w:eastAsia="黑体" w:cs="黑体"/>
        </w:rPr>
        <w:fldChar w:fldCharType="end"/>
      </w:r>
      <w:r>
        <w:rPr>
          <w:rFonts w:hint="eastAsia" w:ascii="黑体" w:hAnsi="黑体" w:eastAsia="黑体" w:cs="黑体"/>
        </w:rPr>
        <w:fldChar w:fldCharType="end"/>
      </w:r>
    </w:p>
    <w:p>
      <w:pPr>
        <w:pStyle w:val="12"/>
        <w:rPr>
          <w:rFonts w:ascii="黑体" w:hAnsi="黑体" w:eastAsia="黑体" w:cs="黑体"/>
          <w:sz w:val="28"/>
          <w:szCs w:val="28"/>
        </w:rPr>
      </w:pPr>
      <w:r>
        <w:rPr>
          <w:rFonts w:hint="eastAsia" w:ascii="黑体" w:hAnsi="黑体" w:eastAsia="黑体" w:cs="黑体"/>
          <w:sz w:val="28"/>
          <w:szCs w:val="28"/>
        </w:rPr>
        <w:t>一、</w:t>
      </w:r>
      <w:r>
        <w:fldChar w:fldCharType="begin"/>
      </w:r>
      <w:r>
        <w:instrText xml:space="preserve"> HYPERLINK \l "_Toc15396619" </w:instrText>
      </w:r>
      <w:r>
        <w:fldChar w:fldCharType="separate"/>
      </w:r>
      <w:r>
        <w:rPr>
          <w:rStyle w:val="17"/>
          <w:rFonts w:hint="eastAsia" w:ascii="黑体" w:hAnsi="黑体" w:eastAsia="黑体" w:cs="黑体"/>
          <w:sz w:val="28"/>
          <w:szCs w:val="28"/>
        </w:rPr>
        <w:t>收入支出决算总表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_Toc15396619 \h </w:instrText>
      </w:r>
      <w:r>
        <w:rPr>
          <w:rFonts w:hint="eastAsia" w:ascii="黑体" w:hAnsi="黑体" w:eastAsia="黑体" w:cs="黑体"/>
          <w:sz w:val="28"/>
          <w:szCs w:val="28"/>
        </w:rPr>
        <w:fldChar w:fldCharType="separate"/>
      </w:r>
      <w:r>
        <w:rPr>
          <w:rFonts w:hint="eastAsia" w:ascii="黑体" w:hAnsi="黑体" w:eastAsia="黑体" w:cs="黑体"/>
          <w:sz w:val="28"/>
          <w:szCs w:val="28"/>
        </w:rPr>
        <w:t>26</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2"/>
        <w:rPr>
          <w:rFonts w:ascii="黑体" w:hAnsi="黑体" w:eastAsia="黑体" w:cs="黑体"/>
          <w:sz w:val="28"/>
          <w:szCs w:val="28"/>
        </w:rPr>
      </w:pPr>
      <w:r>
        <w:rPr>
          <w:rFonts w:hint="eastAsia" w:ascii="黑体" w:hAnsi="黑体" w:eastAsia="黑体" w:cs="黑体"/>
          <w:sz w:val="28"/>
          <w:szCs w:val="28"/>
        </w:rPr>
        <w:t>二、</w:t>
      </w:r>
      <w:r>
        <w:fldChar w:fldCharType="begin"/>
      </w:r>
      <w:r>
        <w:instrText xml:space="preserve"> HYPERLINK \l "_Toc15396620" </w:instrText>
      </w:r>
      <w:r>
        <w:fldChar w:fldCharType="separate"/>
      </w:r>
      <w:r>
        <w:rPr>
          <w:rStyle w:val="17"/>
          <w:rFonts w:hint="eastAsia" w:ascii="黑体" w:hAnsi="黑体" w:eastAsia="黑体" w:cs="黑体"/>
          <w:sz w:val="28"/>
          <w:szCs w:val="28"/>
        </w:rPr>
        <w:t>收入总表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_Toc15396620 \h </w:instrText>
      </w:r>
      <w:r>
        <w:rPr>
          <w:rFonts w:hint="eastAsia" w:ascii="黑体" w:hAnsi="黑体" w:eastAsia="黑体" w:cs="黑体"/>
          <w:sz w:val="28"/>
          <w:szCs w:val="28"/>
        </w:rPr>
        <w:fldChar w:fldCharType="separate"/>
      </w:r>
      <w:r>
        <w:rPr>
          <w:rFonts w:hint="eastAsia" w:ascii="黑体" w:hAnsi="黑体" w:eastAsia="黑体" w:cs="黑体"/>
          <w:sz w:val="28"/>
          <w:szCs w:val="28"/>
        </w:rPr>
        <w:t>26</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2"/>
        <w:rPr>
          <w:rFonts w:ascii="黑体" w:hAnsi="黑体" w:eastAsia="黑体" w:cs="黑体"/>
          <w:sz w:val="28"/>
          <w:szCs w:val="28"/>
        </w:rPr>
      </w:pPr>
      <w:r>
        <w:rPr>
          <w:rFonts w:hint="eastAsia" w:ascii="黑体" w:hAnsi="黑体" w:eastAsia="黑体" w:cs="黑体"/>
          <w:sz w:val="28"/>
          <w:szCs w:val="28"/>
        </w:rPr>
        <w:t>三、</w:t>
      </w:r>
      <w:r>
        <w:fldChar w:fldCharType="begin"/>
      </w:r>
      <w:r>
        <w:instrText xml:space="preserve"> HYPERLINK \l "_Toc15396621" </w:instrText>
      </w:r>
      <w:r>
        <w:fldChar w:fldCharType="separate"/>
      </w:r>
      <w:r>
        <w:rPr>
          <w:rStyle w:val="17"/>
          <w:rFonts w:hint="eastAsia" w:ascii="黑体" w:hAnsi="黑体" w:eastAsia="黑体" w:cs="黑体"/>
          <w:sz w:val="28"/>
          <w:szCs w:val="28"/>
        </w:rPr>
        <w:t>支出总表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_Toc15396621 \h </w:instrText>
      </w:r>
      <w:r>
        <w:rPr>
          <w:rFonts w:hint="eastAsia" w:ascii="黑体" w:hAnsi="黑体" w:eastAsia="黑体" w:cs="黑体"/>
          <w:sz w:val="28"/>
          <w:szCs w:val="28"/>
        </w:rPr>
        <w:fldChar w:fldCharType="separate"/>
      </w:r>
      <w:r>
        <w:rPr>
          <w:rFonts w:hint="eastAsia" w:ascii="黑体" w:hAnsi="黑体" w:eastAsia="黑体" w:cs="黑体"/>
          <w:sz w:val="28"/>
          <w:szCs w:val="28"/>
        </w:rPr>
        <w:t>26</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2"/>
        <w:rPr>
          <w:rFonts w:ascii="黑体" w:hAnsi="黑体" w:eastAsia="黑体" w:cs="黑体"/>
          <w:sz w:val="28"/>
          <w:szCs w:val="28"/>
        </w:rPr>
      </w:pPr>
      <w:r>
        <w:rPr>
          <w:rFonts w:hint="eastAsia" w:ascii="黑体" w:hAnsi="黑体" w:eastAsia="黑体" w:cs="黑体"/>
          <w:sz w:val="28"/>
          <w:szCs w:val="28"/>
        </w:rPr>
        <w:t>四、</w:t>
      </w:r>
      <w:r>
        <w:fldChar w:fldCharType="begin"/>
      </w:r>
      <w:r>
        <w:instrText xml:space="preserve"> HYPERLINK \l "_Toc15396622" </w:instrText>
      </w:r>
      <w:r>
        <w:fldChar w:fldCharType="separate"/>
      </w:r>
      <w:r>
        <w:rPr>
          <w:rStyle w:val="17"/>
          <w:rFonts w:hint="eastAsia" w:ascii="黑体" w:hAnsi="黑体" w:eastAsia="黑体" w:cs="黑体"/>
          <w:sz w:val="28"/>
          <w:szCs w:val="28"/>
        </w:rPr>
        <w:t>财政拨款收入支出决算总表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_Toc15396622 \h </w:instrText>
      </w:r>
      <w:r>
        <w:rPr>
          <w:rFonts w:hint="eastAsia" w:ascii="黑体" w:hAnsi="黑体" w:eastAsia="黑体" w:cs="黑体"/>
          <w:sz w:val="28"/>
          <w:szCs w:val="28"/>
        </w:rPr>
        <w:fldChar w:fldCharType="separate"/>
      </w:r>
      <w:r>
        <w:rPr>
          <w:rFonts w:hint="eastAsia" w:ascii="黑体" w:hAnsi="黑体" w:eastAsia="黑体" w:cs="黑体"/>
          <w:sz w:val="28"/>
          <w:szCs w:val="28"/>
        </w:rPr>
        <w:t>26</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2"/>
        <w:rPr>
          <w:rFonts w:ascii="黑体" w:hAnsi="黑体" w:eastAsia="黑体" w:cs="黑体"/>
          <w:sz w:val="28"/>
          <w:szCs w:val="28"/>
        </w:rPr>
      </w:pPr>
      <w:r>
        <w:rPr>
          <w:rFonts w:hint="eastAsia" w:ascii="黑体" w:hAnsi="黑体" w:eastAsia="黑体" w:cs="黑体"/>
          <w:sz w:val="28"/>
          <w:szCs w:val="28"/>
        </w:rPr>
        <w:t>五、</w:t>
      </w:r>
      <w:r>
        <w:fldChar w:fldCharType="begin"/>
      </w:r>
      <w:r>
        <w:instrText xml:space="preserve"> HYPERLINK \l "_Toc15396623" </w:instrText>
      </w:r>
      <w:r>
        <w:fldChar w:fldCharType="separate"/>
      </w:r>
      <w:r>
        <w:rPr>
          <w:rFonts w:hint="eastAsia" w:ascii="黑体" w:hAnsi="黑体" w:eastAsia="黑体" w:cs="黑体"/>
          <w:sz w:val="28"/>
          <w:szCs w:val="28"/>
        </w:rPr>
        <w:t>财政拨款支出决算明细表（政府经济分类科目）</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_Toc15396623 \h </w:instrText>
      </w:r>
      <w:r>
        <w:rPr>
          <w:rFonts w:hint="eastAsia" w:ascii="黑体" w:hAnsi="黑体" w:eastAsia="黑体" w:cs="黑体"/>
          <w:sz w:val="28"/>
          <w:szCs w:val="28"/>
        </w:rPr>
        <w:fldChar w:fldCharType="separate"/>
      </w:r>
      <w:r>
        <w:rPr>
          <w:rFonts w:hint="eastAsia" w:ascii="黑体" w:hAnsi="黑体" w:eastAsia="黑体" w:cs="黑体"/>
          <w:sz w:val="28"/>
          <w:szCs w:val="28"/>
        </w:rPr>
        <w:t>26</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2"/>
        <w:rPr>
          <w:rFonts w:ascii="黑体" w:hAnsi="黑体" w:eastAsia="黑体" w:cs="黑体"/>
          <w:sz w:val="28"/>
          <w:szCs w:val="28"/>
        </w:rPr>
      </w:pPr>
      <w:r>
        <w:rPr>
          <w:rFonts w:hint="eastAsia" w:ascii="黑体" w:hAnsi="黑体" w:eastAsia="黑体" w:cs="黑体"/>
          <w:sz w:val="28"/>
          <w:szCs w:val="28"/>
        </w:rPr>
        <w:t>六、</w:t>
      </w:r>
      <w:r>
        <w:fldChar w:fldCharType="begin"/>
      </w:r>
      <w:r>
        <w:instrText xml:space="preserve"> HYPERLINK \l "_Toc15396624" </w:instrText>
      </w:r>
      <w:r>
        <w:fldChar w:fldCharType="separate"/>
      </w:r>
      <w:r>
        <w:rPr>
          <w:rStyle w:val="17"/>
          <w:rFonts w:hint="eastAsia" w:ascii="黑体" w:hAnsi="黑体" w:eastAsia="黑体" w:cs="黑体"/>
          <w:sz w:val="28"/>
          <w:szCs w:val="28"/>
        </w:rPr>
        <w:t>一般公共预算财政拨款支出决算表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_Toc15396624 \h </w:instrText>
      </w:r>
      <w:r>
        <w:rPr>
          <w:rFonts w:hint="eastAsia" w:ascii="黑体" w:hAnsi="黑体" w:eastAsia="黑体" w:cs="黑体"/>
          <w:sz w:val="28"/>
          <w:szCs w:val="28"/>
        </w:rPr>
        <w:fldChar w:fldCharType="separate"/>
      </w:r>
      <w:r>
        <w:rPr>
          <w:rFonts w:hint="eastAsia" w:ascii="黑体" w:hAnsi="黑体" w:eastAsia="黑体" w:cs="黑体"/>
          <w:sz w:val="28"/>
          <w:szCs w:val="28"/>
        </w:rPr>
        <w:t>26</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2"/>
        <w:rPr>
          <w:rFonts w:ascii="黑体" w:hAnsi="黑体" w:eastAsia="黑体" w:cs="黑体"/>
          <w:sz w:val="28"/>
          <w:szCs w:val="28"/>
        </w:rPr>
      </w:pPr>
      <w:r>
        <w:rPr>
          <w:rFonts w:hint="eastAsia" w:ascii="黑体" w:hAnsi="黑体" w:eastAsia="黑体" w:cs="黑体"/>
          <w:sz w:val="28"/>
          <w:szCs w:val="28"/>
        </w:rPr>
        <w:t>七、</w:t>
      </w:r>
      <w:r>
        <w:fldChar w:fldCharType="begin"/>
      </w:r>
      <w:r>
        <w:instrText xml:space="preserve"> HYPERLINK \l "_Toc15396625" </w:instrText>
      </w:r>
      <w:r>
        <w:fldChar w:fldCharType="separate"/>
      </w:r>
      <w:r>
        <w:rPr>
          <w:rStyle w:val="17"/>
          <w:rFonts w:hint="eastAsia" w:ascii="黑体" w:hAnsi="黑体" w:eastAsia="黑体" w:cs="黑体"/>
          <w:sz w:val="28"/>
          <w:szCs w:val="28"/>
        </w:rPr>
        <w:t>一般公共预算财政拨款支出决算明细表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_Toc15396625 \h </w:instrText>
      </w:r>
      <w:r>
        <w:rPr>
          <w:rFonts w:hint="eastAsia" w:ascii="黑体" w:hAnsi="黑体" w:eastAsia="黑体" w:cs="黑体"/>
          <w:sz w:val="28"/>
          <w:szCs w:val="28"/>
        </w:rPr>
        <w:fldChar w:fldCharType="separate"/>
      </w:r>
      <w:r>
        <w:rPr>
          <w:rFonts w:hint="eastAsia" w:ascii="黑体" w:hAnsi="黑体" w:eastAsia="黑体" w:cs="黑体"/>
          <w:sz w:val="28"/>
          <w:szCs w:val="28"/>
        </w:rPr>
        <w:t>26</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2"/>
        <w:rPr>
          <w:rFonts w:ascii="黑体" w:hAnsi="黑体" w:eastAsia="黑体" w:cs="黑体"/>
          <w:sz w:val="28"/>
          <w:szCs w:val="28"/>
        </w:rPr>
      </w:pPr>
      <w:r>
        <w:rPr>
          <w:rFonts w:hint="eastAsia" w:ascii="黑体" w:hAnsi="黑体" w:eastAsia="黑体" w:cs="黑体"/>
          <w:sz w:val="28"/>
          <w:szCs w:val="28"/>
        </w:rPr>
        <w:t>八、</w:t>
      </w:r>
      <w:r>
        <w:fldChar w:fldCharType="begin"/>
      </w:r>
      <w:r>
        <w:instrText xml:space="preserve"> HYPERLINK \l "_Toc15396626" </w:instrText>
      </w:r>
      <w:r>
        <w:fldChar w:fldCharType="separate"/>
      </w:r>
      <w:r>
        <w:rPr>
          <w:rStyle w:val="17"/>
          <w:rFonts w:hint="eastAsia" w:ascii="黑体" w:hAnsi="黑体" w:eastAsia="黑体" w:cs="黑体"/>
          <w:sz w:val="28"/>
          <w:szCs w:val="28"/>
        </w:rPr>
        <w:t>一般公共预算财政拨款基本支出决算表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_Toc15396626 \h </w:instrText>
      </w:r>
      <w:r>
        <w:rPr>
          <w:rFonts w:hint="eastAsia" w:ascii="黑体" w:hAnsi="黑体" w:eastAsia="黑体" w:cs="黑体"/>
          <w:sz w:val="28"/>
          <w:szCs w:val="28"/>
        </w:rPr>
        <w:fldChar w:fldCharType="separate"/>
      </w:r>
      <w:r>
        <w:rPr>
          <w:rFonts w:hint="eastAsia" w:ascii="黑体" w:hAnsi="黑体" w:eastAsia="黑体" w:cs="黑体"/>
          <w:sz w:val="28"/>
          <w:szCs w:val="28"/>
        </w:rPr>
        <w:t>26</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2"/>
        <w:rPr>
          <w:rFonts w:ascii="黑体" w:hAnsi="黑体" w:eastAsia="黑体" w:cs="黑体"/>
          <w:sz w:val="28"/>
          <w:szCs w:val="28"/>
        </w:rPr>
      </w:pPr>
      <w:r>
        <w:rPr>
          <w:rFonts w:hint="eastAsia" w:ascii="黑体" w:hAnsi="黑体" w:eastAsia="黑体" w:cs="黑体"/>
          <w:sz w:val="28"/>
          <w:szCs w:val="28"/>
        </w:rPr>
        <w:t>九、</w:t>
      </w:r>
      <w:r>
        <w:fldChar w:fldCharType="begin"/>
      </w:r>
      <w:r>
        <w:instrText xml:space="preserve"> HYPERLINK \l "_Toc15396627" </w:instrText>
      </w:r>
      <w:r>
        <w:fldChar w:fldCharType="separate"/>
      </w:r>
      <w:r>
        <w:rPr>
          <w:rStyle w:val="17"/>
          <w:rFonts w:hint="eastAsia" w:ascii="黑体" w:hAnsi="黑体" w:eastAsia="黑体" w:cs="黑体"/>
          <w:sz w:val="28"/>
          <w:szCs w:val="28"/>
        </w:rPr>
        <w:t>一般公共预算财政拨款项目支出决算表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_Toc15396627 \h </w:instrText>
      </w:r>
      <w:r>
        <w:rPr>
          <w:rFonts w:hint="eastAsia" w:ascii="黑体" w:hAnsi="黑体" w:eastAsia="黑体" w:cs="黑体"/>
          <w:sz w:val="28"/>
          <w:szCs w:val="28"/>
        </w:rPr>
        <w:fldChar w:fldCharType="separate"/>
      </w:r>
      <w:r>
        <w:rPr>
          <w:rFonts w:hint="eastAsia" w:ascii="黑体" w:hAnsi="黑体" w:eastAsia="黑体" w:cs="黑体"/>
          <w:sz w:val="28"/>
          <w:szCs w:val="28"/>
        </w:rPr>
        <w:t>26</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2"/>
        <w:rPr>
          <w:rFonts w:ascii="黑体" w:hAnsi="黑体" w:eastAsia="黑体" w:cs="黑体"/>
          <w:sz w:val="28"/>
          <w:szCs w:val="28"/>
        </w:rPr>
      </w:pPr>
      <w:r>
        <w:rPr>
          <w:rFonts w:hint="eastAsia" w:ascii="黑体" w:hAnsi="黑体" w:eastAsia="黑体" w:cs="黑体"/>
          <w:sz w:val="28"/>
          <w:szCs w:val="28"/>
        </w:rPr>
        <w:t>十、</w:t>
      </w:r>
      <w:r>
        <w:fldChar w:fldCharType="begin"/>
      </w:r>
      <w:r>
        <w:instrText xml:space="preserve"> HYPERLINK \l "_Toc15396628" </w:instrText>
      </w:r>
      <w:r>
        <w:fldChar w:fldCharType="separate"/>
      </w:r>
      <w:r>
        <w:rPr>
          <w:rStyle w:val="17"/>
          <w:rFonts w:hint="eastAsia" w:ascii="黑体" w:hAnsi="黑体" w:eastAsia="黑体" w:cs="黑体"/>
          <w:sz w:val="28"/>
          <w:szCs w:val="28"/>
        </w:rPr>
        <w:t>一般公共预算财政拨款“三公”经费支出决算表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_Toc15396628 \h </w:instrText>
      </w:r>
      <w:r>
        <w:rPr>
          <w:rFonts w:hint="eastAsia" w:ascii="黑体" w:hAnsi="黑体" w:eastAsia="黑体" w:cs="黑体"/>
          <w:sz w:val="28"/>
          <w:szCs w:val="28"/>
        </w:rPr>
        <w:fldChar w:fldCharType="separate"/>
      </w:r>
      <w:r>
        <w:rPr>
          <w:rFonts w:hint="eastAsia" w:ascii="黑体" w:hAnsi="黑体" w:eastAsia="黑体" w:cs="黑体"/>
          <w:sz w:val="28"/>
          <w:szCs w:val="28"/>
        </w:rPr>
        <w:t>26</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2"/>
        <w:rPr>
          <w:rFonts w:ascii="黑体" w:hAnsi="黑体" w:eastAsia="黑体" w:cs="黑体"/>
          <w:sz w:val="28"/>
          <w:szCs w:val="28"/>
        </w:rPr>
      </w:pPr>
      <w:r>
        <w:rPr>
          <w:rFonts w:hint="eastAsia" w:ascii="黑体" w:hAnsi="黑体" w:eastAsia="黑体" w:cs="黑体"/>
          <w:sz w:val="28"/>
          <w:szCs w:val="28"/>
        </w:rPr>
        <w:t>十一、</w:t>
      </w:r>
      <w:r>
        <w:fldChar w:fldCharType="begin"/>
      </w:r>
      <w:r>
        <w:instrText xml:space="preserve"> HYPERLINK \l "_Toc15396629" </w:instrText>
      </w:r>
      <w:r>
        <w:fldChar w:fldCharType="separate"/>
      </w:r>
      <w:r>
        <w:rPr>
          <w:rStyle w:val="17"/>
          <w:rFonts w:hint="eastAsia" w:ascii="黑体" w:hAnsi="黑体" w:eastAsia="黑体" w:cs="黑体"/>
          <w:sz w:val="28"/>
          <w:szCs w:val="28"/>
        </w:rPr>
        <w:t>政府性基金预算财政拨款收入支出决算表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_Toc15396629 \h </w:instrText>
      </w:r>
      <w:r>
        <w:rPr>
          <w:rFonts w:hint="eastAsia" w:ascii="黑体" w:hAnsi="黑体" w:eastAsia="黑体" w:cs="黑体"/>
          <w:sz w:val="28"/>
          <w:szCs w:val="28"/>
        </w:rPr>
        <w:fldChar w:fldCharType="separate"/>
      </w:r>
      <w:r>
        <w:rPr>
          <w:rFonts w:hint="eastAsia" w:ascii="黑体" w:hAnsi="黑体" w:eastAsia="黑体" w:cs="黑体"/>
          <w:sz w:val="28"/>
          <w:szCs w:val="28"/>
        </w:rPr>
        <w:t>26</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2"/>
        <w:rPr>
          <w:rFonts w:ascii="黑体" w:hAnsi="黑体" w:eastAsia="黑体" w:cs="黑体"/>
          <w:sz w:val="28"/>
          <w:szCs w:val="28"/>
        </w:rPr>
      </w:pPr>
      <w:r>
        <w:rPr>
          <w:rFonts w:hint="eastAsia" w:ascii="黑体" w:hAnsi="黑体" w:eastAsia="黑体" w:cs="黑体"/>
          <w:sz w:val="28"/>
          <w:szCs w:val="28"/>
        </w:rPr>
        <w:t>十二、</w:t>
      </w:r>
      <w:r>
        <w:fldChar w:fldCharType="begin"/>
      </w:r>
      <w:r>
        <w:instrText xml:space="preserve"> HYPERLINK \l "_Toc15396630" </w:instrText>
      </w:r>
      <w:r>
        <w:fldChar w:fldCharType="separate"/>
      </w:r>
      <w:r>
        <w:rPr>
          <w:rStyle w:val="17"/>
          <w:rFonts w:hint="eastAsia" w:ascii="黑体" w:hAnsi="黑体" w:eastAsia="黑体" w:cs="黑体"/>
          <w:sz w:val="28"/>
          <w:szCs w:val="28"/>
        </w:rPr>
        <w:t>政府性基金预算财政拨款“三公”经费支出决算表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_Toc15396630 \h </w:instrText>
      </w:r>
      <w:r>
        <w:rPr>
          <w:rFonts w:hint="eastAsia" w:ascii="黑体" w:hAnsi="黑体" w:eastAsia="黑体" w:cs="黑体"/>
          <w:sz w:val="28"/>
          <w:szCs w:val="28"/>
        </w:rPr>
        <w:fldChar w:fldCharType="separate"/>
      </w:r>
      <w:r>
        <w:rPr>
          <w:rFonts w:hint="eastAsia" w:ascii="黑体" w:hAnsi="黑体" w:eastAsia="黑体" w:cs="黑体"/>
          <w:sz w:val="28"/>
          <w:szCs w:val="28"/>
        </w:rPr>
        <w:t>26</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2"/>
        <w:rPr>
          <w:rFonts w:ascii="黑体" w:hAnsi="黑体" w:eastAsia="黑体" w:cs="黑体"/>
          <w:sz w:val="24"/>
        </w:rPr>
      </w:pPr>
      <w:r>
        <w:rPr>
          <w:rFonts w:hint="eastAsia" w:ascii="黑体" w:hAnsi="黑体" w:eastAsia="黑体" w:cs="黑体"/>
          <w:sz w:val="28"/>
          <w:szCs w:val="28"/>
        </w:rPr>
        <w:t>十三、</w:t>
      </w:r>
      <w:r>
        <w:fldChar w:fldCharType="begin"/>
      </w:r>
      <w:r>
        <w:instrText xml:space="preserve"> HYPERLINK \l "_Toc15396631" </w:instrText>
      </w:r>
      <w:r>
        <w:fldChar w:fldCharType="separate"/>
      </w:r>
      <w:r>
        <w:rPr>
          <w:rStyle w:val="17"/>
          <w:rFonts w:hint="eastAsia" w:ascii="黑体" w:hAnsi="黑体" w:eastAsia="黑体" w:cs="黑体"/>
          <w:sz w:val="28"/>
          <w:szCs w:val="28"/>
        </w:rPr>
        <w:t>国有资本经营预算支出决算表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_Toc15396631 \h </w:instrText>
      </w:r>
      <w:r>
        <w:rPr>
          <w:rFonts w:hint="eastAsia" w:ascii="黑体" w:hAnsi="黑体" w:eastAsia="黑体" w:cs="黑体"/>
          <w:sz w:val="28"/>
          <w:szCs w:val="28"/>
        </w:rPr>
        <w:fldChar w:fldCharType="separate"/>
      </w:r>
      <w:r>
        <w:rPr>
          <w:rFonts w:hint="eastAsia" w:ascii="黑体" w:hAnsi="黑体" w:eastAsia="黑体" w:cs="黑体"/>
          <w:sz w:val="28"/>
          <w:szCs w:val="28"/>
        </w:rPr>
        <w:t>26</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96599"/>
      <w:bookmarkStart w:id="13" w:name="_Toc15377196"/>
      <w:r>
        <w:rPr>
          <w:rFonts w:ascii="黑体" w:hAnsi="黑体" w:eastAsia="黑体"/>
          <w:b/>
        </w:rPr>
        <w:br w:type="page"/>
      </w:r>
    </w:p>
    <w:p>
      <w:pPr>
        <w:pStyle w:val="2"/>
        <w:jc w:val="center"/>
        <w:rPr>
          <w:rStyle w:val="26"/>
          <w:rFonts w:ascii="黑体" w:hAnsi="黑体" w:eastAsia="黑体"/>
          <w:b/>
          <w:bCs w:val="0"/>
        </w:rPr>
      </w:pPr>
      <w:r>
        <w:rPr>
          <w:rFonts w:hint="eastAsia" w:ascii="黑体" w:hAnsi="黑体" w:eastAsia="黑体"/>
          <w:b w:val="0"/>
        </w:rPr>
        <w:t xml:space="preserve">第一部分 </w:t>
      </w:r>
      <w:r>
        <w:rPr>
          <w:rStyle w:val="26"/>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numPr>
          <w:ilvl w:val="0"/>
          <w:numId w:val="1"/>
        </w:numPr>
        <w:rPr>
          <w:rFonts w:ascii="仿宋_GB2312" w:eastAsia="仿宋_GB2312"/>
          <w:color w:val="333333"/>
        </w:rPr>
      </w:pPr>
      <w:bookmarkStart w:id="14" w:name="_Toc15377197"/>
      <w:bookmarkStart w:id="15" w:name="_Toc15396600"/>
      <w:r>
        <w:rPr>
          <w:rFonts w:hint="eastAsia" w:ascii="黑体" w:hAnsi="黑体" w:eastAsia="黑体"/>
          <w:b w:val="0"/>
          <w:color w:val="000000"/>
        </w:rPr>
        <w:t>基</w:t>
      </w:r>
      <w:r>
        <w:rPr>
          <w:rStyle w:val="27"/>
          <w:rFonts w:hint="eastAsia" w:ascii="黑体" w:hAnsi="黑体" w:eastAsia="黑体"/>
          <w:b w:val="0"/>
          <w:bCs w:val="0"/>
        </w:rPr>
        <w:t>本职能及主要工作</w:t>
      </w:r>
      <w:bookmarkEnd w:id="14"/>
      <w:bookmarkEnd w:id="15"/>
    </w:p>
    <w:p>
      <w:pPr>
        <w:pStyle w:val="3"/>
        <w:numPr>
          <w:ilvl w:val="0"/>
          <w:numId w:val="2"/>
        </w:numPr>
        <w:ind w:firstLine="320" w:firstLineChars="100"/>
        <w:rPr>
          <w:rFonts w:ascii="仿宋_GB2312" w:hAnsi="仿宋_GB2312" w:eastAsia="仿宋_GB2312"/>
          <w:color w:val="000000"/>
        </w:rPr>
      </w:pPr>
      <w:r>
        <w:rPr>
          <w:rFonts w:hint="eastAsia" w:ascii="仿宋_GB2312" w:eastAsia="仿宋_GB2312"/>
          <w:b w:val="0"/>
          <w:bCs w:val="0"/>
          <w:color w:val="000000"/>
        </w:rPr>
        <w:t>主要职能</w:t>
      </w:r>
      <w:r>
        <w:rPr>
          <w:rFonts w:hint="eastAsia"/>
          <w:color w:val="000000"/>
        </w:rPr>
        <w:t>。</w:t>
      </w:r>
    </w:p>
    <w:p>
      <w:pPr>
        <w:pStyle w:val="3"/>
        <w:ind w:firstLine="640" w:firstLineChars="200"/>
        <w:rPr>
          <w:rFonts w:ascii="仿宋_GB2312" w:hAnsi="仿宋_GB2312" w:eastAsia="仿宋_GB2312"/>
          <w:b w:val="0"/>
          <w:bCs w:val="0"/>
          <w:color w:val="000000"/>
        </w:rPr>
      </w:pPr>
      <w:r>
        <w:rPr>
          <w:rFonts w:hint="eastAsia" w:ascii="仿宋_GB2312" w:eastAsia="仿宋_GB2312"/>
          <w:b w:val="0"/>
          <w:bCs w:val="0"/>
          <w:color w:val="000000"/>
        </w:rPr>
        <w:t>阿坝州人民检察院</w:t>
      </w:r>
      <w:r>
        <w:rPr>
          <w:rFonts w:hint="eastAsia" w:ascii="仿宋_GB2312" w:hAnsi="仿宋_GB2312" w:eastAsia="仿宋_GB2312"/>
          <w:b w:val="0"/>
          <w:bCs w:val="0"/>
          <w:color w:val="000000"/>
        </w:rPr>
        <w:t>是国家的法律监督机关。领导全州各县人民检察院的工作，对阿坝州人民代表大会及其常务委员会负责并报告工作，根据我国宪法规定，人民检察院主要职责是：依法履行监督职能，保证国家法律的统一和正确实施。</w:t>
      </w:r>
    </w:p>
    <w:p>
      <w:pPr>
        <w:pStyle w:val="6"/>
        <w:adjustRightInd w:val="0"/>
        <w:snapToGrid w:val="0"/>
        <w:spacing w:before="93" w:line="520" w:lineRule="exact"/>
        <w:ind w:firstLine="480" w:firstLineChars="150"/>
        <w:rPr>
          <w:bCs/>
          <w:color w:val="000000"/>
          <w:sz w:val="32"/>
          <w:szCs w:val="32"/>
        </w:rPr>
      </w:pPr>
      <w:r>
        <w:rPr>
          <w:rFonts w:hint="eastAsia"/>
          <w:bCs/>
          <w:color w:val="000000"/>
          <w:sz w:val="32"/>
          <w:szCs w:val="32"/>
        </w:rPr>
        <w:t>（二）2020年重点工作完成情况。</w:t>
      </w:r>
    </w:p>
    <w:p>
      <w:pPr>
        <w:widowControl/>
        <w:adjustRightInd w:val="0"/>
        <w:snapToGrid w:val="0"/>
        <w:spacing w:line="560" w:lineRule="exact"/>
        <w:ind w:firstLine="640" w:firstLineChars="200"/>
        <w:rPr>
          <w:rFonts w:ascii="仿宋_GB2312" w:hAnsi="仿宋_GB2312" w:eastAsia="仿宋_GB2312"/>
          <w:sz w:val="32"/>
        </w:rPr>
      </w:pPr>
      <w:r>
        <w:rPr>
          <w:rFonts w:hint="eastAsia" w:ascii="仿宋_GB2312" w:eastAsia="仿宋_GB2312"/>
          <w:color w:val="000000"/>
          <w:sz w:val="32"/>
          <w:szCs w:val="32"/>
        </w:rPr>
        <w:t>根据州委、州政府关于2020年全州工作的总体部署，2020年主要工作是:</w:t>
      </w:r>
      <w:r>
        <w:rPr>
          <w:rFonts w:hint="eastAsia" w:ascii="仿宋_GB2312" w:hAnsi="仿宋_GB2312" w:eastAsia="仿宋_GB2312"/>
          <w:color w:val="000000"/>
          <w:sz w:val="32"/>
        </w:rPr>
        <w:t xml:space="preserve"> </w:t>
      </w:r>
      <w:r>
        <w:rPr>
          <w:rFonts w:hint="eastAsia" w:ascii="仿宋_GB2312" w:hAnsi="仿宋_GB2312" w:eastAsia="仿宋_GB2312"/>
          <w:sz w:val="32"/>
        </w:rPr>
        <w:t>1.负责全州人民检察院宏观管理、指挥和协调。2.负责依法查处办理国家执法办案工作人员办案过程中犯罪的案件</w:t>
      </w:r>
      <w:r>
        <w:rPr>
          <w:rFonts w:hint="eastAsia" w:ascii="仿宋_GB2312" w:hAnsi="仿宋_GB2312" w:eastAsia="仿宋_GB2312"/>
          <w:sz w:val="32"/>
          <w:szCs w:val="32"/>
        </w:rPr>
        <w:t>。3.领导全州各县检察院依法对刑事诉讼、民事审判和行政诉讼实行监督。4.督促、指导、协调全州检察机关侦破、查处、办理各类刑事案件。5.负责全州人民检察院制度建设，指导全州人民检察院执法工作，对全州人民检察院执法质量进行监督、检查、考评。6.负责编制全州人民检察院发展建设规划，组织指导全州人民检察院装备、基础设施建设；承担装备专用物资的申请、购置、调拨、发放和管理工作。7.负责全州人民检察院机构设置、编制和人员配备的审核报批，干警招收录用协调及教育培训、立功受奖、优扶、宣传等工作，协管各县检察机关领导干部。8.负责对全州检察队伍执行法律、法规和有关规定情况、作风纪律情况及重要工作开展情况进行督察，组织查处或指导查处检察院干警违法、违纪案件，指导全州检察队伍党风廉政建设。9.</w:t>
      </w:r>
      <w:r>
        <w:rPr>
          <w:rFonts w:hint="eastAsia" w:ascii="仿宋_GB2312" w:hAnsi="仿宋_GB2312" w:eastAsia="仿宋_GB2312"/>
          <w:sz w:val="32"/>
        </w:rPr>
        <w:t xml:space="preserve">负责检察系统不稳定因素的协调和调解工作；担负机关维稳、综治、消防等工作。 </w:t>
      </w:r>
    </w:p>
    <w:p>
      <w:pPr>
        <w:pStyle w:val="3"/>
        <w:numPr>
          <w:ilvl w:val="0"/>
          <w:numId w:val="1"/>
        </w:numPr>
        <w:rPr>
          <w:rStyle w:val="27"/>
          <w:rFonts w:ascii="黑体" w:hAnsi="黑体" w:eastAsia="黑体"/>
          <w:b/>
          <w:bCs w:val="0"/>
        </w:rPr>
      </w:pPr>
      <w:bookmarkStart w:id="16" w:name="_Toc15377200"/>
      <w:bookmarkStart w:id="17" w:name="_Toc15396601"/>
      <w:r>
        <w:rPr>
          <w:rFonts w:hint="eastAsia" w:ascii="黑体" w:hAnsi="黑体" w:eastAsia="黑体"/>
          <w:bCs w:val="0"/>
          <w:color w:val="000000"/>
        </w:rPr>
        <w:t>机</w:t>
      </w:r>
      <w:r>
        <w:rPr>
          <w:rStyle w:val="27"/>
          <w:rFonts w:hint="eastAsia" w:ascii="黑体" w:hAnsi="黑体" w:eastAsia="黑体"/>
          <w:b/>
          <w:bCs w:val="0"/>
        </w:rPr>
        <w:t>构设置</w:t>
      </w:r>
      <w:bookmarkEnd w:id="16"/>
      <w:bookmarkEnd w:id="17"/>
    </w:p>
    <w:p>
      <w:pPr>
        <w:pStyle w:val="3"/>
        <w:numPr>
          <w:ilvl w:val="0"/>
          <w:numId w:val="3"/>
        </w:numPr>
        <w:ind w:firstLine="643" w:firstLineChars="200"/>
        <w:rPr>
          <w:rFonts w:ascii="仿宋_GB2312" w:hAnsi="宋体" w:eastAsia="仿宋_GB2312" w:cs="宋体"/>
          <w:b w:val="0"/>
          <w:bCs w:val="0"/>
          <w:color w:val="2A2A2A"/>
        </w:rPr>
      </w:pPr>
      <w:r>
        <w:rPr>
          <w:rFonts w:hint="eastAsia" w:ascii="仿宋_GB2312" w:hAnsi="Dotum" w:eastAsia="仿宋_GB2312"/>
        </w:rPr>
        <w:t>机构情况。</w:t>
      </w:r>
      <w:r>
        <w:rPr>
          <w:rFonts w:ascii="仿宋" w:hAnsi="仿宋" w:eastAsia="仿宋"/>
          <w:b w:val="0"/>
          <w:bCs w:val="0"/>
        </w:rPr>
        <w:t>无</w:t>
      </w:r>
      <w:r>
        <w:rPr>
          <w:rFonts w:hint="eastAsia" w:ascii="仿宋" w:hAnsi="仿宋" w:eastAsia="仿宋"/>
          <w:b w:val="0"/>
          <w:bCs w:val="0"/>
        </w:rPr>
        <w:t>下属二级单位，</w:t>
      </w:r>
      <w:r>
        <w:rPr>
          <w:rFonts w:ascii="仿宋" w:hAnsi="仿宋" w:eastAsia="仿宋"/>
          <w:b w:val="0"/>
          <w:bCs w:val="0"/>
        </w:rPr>
        <w:t xml:space="preserve"> </w:t>
      </w:r>
      <w:r>
        <w:rPr>
          <w:rFonts w:hint="eastAsia" w:ascii="仿宋_GB2312" w:hAnsi="宋体" w:eastAsia="仿宋_GB2312" w:cs="宋体"/>
          <w:b w:val="0"/>
          <w:bCs w:val="0"/>
          <w:color w:val="2A2A2A"/>
        </w:rPr>
        <w:t>我院内设机构1</w:t>
      </w:r>
      <w:r>
        <w:rPr>
          <w:rFonts w:ascii="仿宋_GB2312" w:hAnsi="宋体" w:eastAsia="仿宋_GB2312" w:cs="宋体"/>
          <w:b w:val="0"/>
          <w:bCs w:val="0"/>
          <w:color w:val="2A2A2A"/>
        </w:rPr>
        <w:t>5</w:t>
      </w:r>
      <w:r>
        <w:rPr>
          <w:rFonts w:hint="eastAsia" w:ascii="仿宋_GB2312" w:hAnsi="宋体" w:eastAsia="仿宋_GB2312" w:cs="宋体"/>
          <w:b w:val="0"/>
          <w:bCs w:val="0"/>
          <w:color w:val="2A2A2A"/>
        </w:rPr>
        <w:t>个，具体是：办公室、政治部（司法警察支队、下设干部处、宣教处）、第一检察部、第二检察部、第三检察部、第四检察部、第五检察部、第六检察部、第七检察部、第八检察部、计划财务装备部、法律政策研究室、检务督察部、案件管理办公室、检察技术信息部。</w:t>
      </w:r>
    </w:p>
    <w:p>
      <w:pPr>
        <w:pStyle w:val="3"/>
        <w:ind w:firstLine="643" w:firstLineChars="200"/>
        <w:rPr>
          <w:rFonts w:ascii="仿宋_GB2312" w:hAnsi="Dotum" w:eastAsia="仿宋_GB2312"/>
          <w:b w:val="0"/>
          <w:bCs w:val="0"/>
        </w:rPr>
      </w:pPr>
      <w:r>
        <w:rPr>
          <w:rFonts w:hint="eastAsia" w:ascii="仿宋_GB2312" w:hAnsi="Dotum" w:eastAsia="仿宋_GB2312"/>
        </w:rPr>
        <w:t>（二）人员情况。</w:t>
      </w:r>
      <w:r>
        <w:rPr>
          <w:rFonts w:hint="eastAsia" w:ascii="仿宋_GB2312" w:hAnsi="宋体" w:eastAsia="仿宋_GB2312" w:cs="宋体"/>
          <w:b w:val="0"/>
          <w:bCs w:val="0"/>
          <w:color w:val="2A2A2A"/>
        </w:rPr>
        <w:t>我院人员编制数72名，其中政法专项编制59名，工勤编制13名。截止2021年8月底在职人员总数59名，其中政法专项编制52人，工勤人员7人；退休人员41人、离休人员2人。检察长1人，副检察长3人，党组成员6人（含正副检察长）、政治部主任、2名专检委委员、1名机关党总支书记为实职副县级领导干部。</w:t>
      </w:r>
    </w:p>
    <w:p>
      <w:pPr>
        <w:pStyle w:val="6"/>
        <w:adjustRightInd w:val="0"/>
        <w:snapToGrid w:val="0"/>
        <w:spacing w:before="93" w:line="600" w:lineRule="exact"/>
        <w:rPr>
          <w:rFonts w:ascii="仿宋" w:hAnsi="仿宋" w:eastAsia="仿宋"/>
          <w:color w:val="000000"/>
          <w:sz w:val="32"/>
          <w:szCs w:val="32"/>
        </w:rPr>
      </w:pPr>
      <w:r>
        <w:rPr>
          <w:rFonts w:ascii="仿宋" w:hAnsi="仿宋" w:eastAsia="仿宋"/>
          <w:color w:val="000000"/>
          <w:sz w:val="32"/>
          <w:szCs w:val="32"/>
        </w:rPr>
        <w:br w:type="page"/>
      </w:r>
    </w:p>
    <w:p>
      <w:pPr>
        <w:pStyle w:val="2"/>
        <w:ind w:right="440"/>
        <w:jc w:val="right"/>
        <w:rPr>
          <w:rStyle w:val="26"/>
          <w:rFonts w:ascii="黑体" w:hAnsi="黑体" w:eastAsia="黑体"/>
          <w:b w:val="0"/>
          <w:bCs w:val="0"/>
        </w:rPr>
      </w:pPr>
      <w:bookmarkStart w:id="18" w:name="_Toc15396602"/>
      <w:bookmarkStart w:id="19"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rPr>
        <w:t>2020年度部门决算情况说明</w:t>
      </w:r>
      <w:bookmarkEnd w:id="18"/>
      <w:bookmarkEnd w:id="19"/>
    </w:p>
    <w:p/>
    <w:p>
      <w:pPr>
        <w:pStyle w:val="25"/>
        <w:numPr>
          <w:ilvl w:val="0"/>
          <w:numId w:val="4"/>
        </w:numPr>
        <w:spacing w:line="600" w:lineRule="exact"/>
        <w:ind w:firstLineChars="0"/>
        <w:outlineLvl w:val="1"/>
        <w:rPr>
          <w:rStyle w:val="27"/>
          <w:rFonts w:hint="eastAsia" w:ascii="仿宋" w:hAnsi="仿宋" w:eastAsia="仿宋" w:cs="Times New Roman"/>
          <w:b w:val="0"/>
          <w:bCs w:val="0"/>
        </w:rPr>
      </w:pPr>
      <w:bookmarkStart w:id="20" w:name="_Toc15377205"/>
      <w:bookmarkStart w:id="21" w:name="_Toc15396603"/>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20"/>
      <w:bookmarkEnd w:id="21"/>
    </w:p>
    <w:p>
      <w:pPr>
        <w:ind w:firstLine="640" w:firstLineChars="200"/>
        <w:rPr>
          <w:rFonts w:hint="eastAsia" w:ascii="仿宋" w:hAnsi="仿宋" w:eastAsia="仿宋"/>
          <w:sz w:val="32"/>
          <w:szCs w:val="32"/>
        </w:rPr>
      </w:pPr>
      <w:r>
        <w:rPr>
          <w:rFonts w:hint="eastAsia" w:ascii="仿宋" w:hAnsi="仿宋" w:eastAsia="仿宋"/>
          <w:sz w:val="32"/>
          <w:szCs w:val="32"/>
        </w:rPr>
        <w:t>2020年检察院总收入2320.29万元，其中：财政拨款2320.29万元。财政拨款收入较2019年（2865.91万元元）减少19.04%。财政拨款减少主要原因是我院涉及机构改革人员转隶人员减少，因此经费进行追减。</w:t>
      </w:r>
    </w:p>
    <w:p>
      <w:pPr>
        <w:ind w:firstLine="640" w:firstLineChars="200"/>
        <w:rPr>
          <w:rFonts w:hint="eastAsia" w:ascii="仿宋" w:hAnsi="仿宋" w:eastAsia="仿宋"/>
          <w:sz w:val="32"/>
          <w:szCs w:val="32"/>
        </w:rPr>
      </w:pPr>
      <w:r>
        <w:rPr>
          <w:rFonts w:hint="eastAsia" w:ascii="仿宋" w:hAnsi="仿宋" w:eastAsia="仿宋"/>
          <w:sz w:val="32"/>
          <w:szCs w:val="32"/>
        </w:rPr>
        <w:t>2020年阿坝州检察院总支出为2595.01万元，其中财政拨款支出为2595.01万元。财政拨款支出较2019年财政拨款支出（2789.32万元）减少6.3%，其原因为：2020年我院涉及机构改革人员转隶，经费使用相对减少。</w:t>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ind w:firstLine="640" w:firstLineChars="200"/>
        <w:rPr>
          <w:rFonts w:hint="eastAsia" w:ascii="仿宋" w:hAnsi="仿宋" w:eastAsia="仿宋"/>
          <w:sz w:val="32"/>
          <w:szCs w:val="32"/>
        </w:rPr>
      </w:pPr>
      <w:r>
        <w:rPr>
          <w:rFonts w:hint="eastAsia" w:ascii="仿宋" w:hAnsi="仿宋" w:eastAsia="仿宋"/>
          <w:sz w:val="32"/>
          <w:szCs w:val="32"/>
        </w:rPr>
        <w:drawing>
          <wp:anchor distT="0" distB="0" distL="114300" distR="114300" simplePos="0" relativeHeight="251665408" behindDoc="0" locked="0" layoutInCell="1" allowOverlap="1">
            <wp:simplePos x="0" y="0"/>
            <wp:positionH relativeFrom="column">
              <wp:posOffset>323850</wp:posOffset>
            </wp:positionH>
            <wp:positionV relativeFrom="paragraph">
              <wp:posOffset>260350</wp:posOffset>
            </wp:positionV>
            <wp:extent cx="4836160" cy="3476625"/>
            <wp:effectExtent l="19050" t="0" r="2540" b="0"/>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6"/>
                    <a:srcRect/>
                    <a:stretch>
                      <a:fillRect/>
                    </a:stretch>
                  </pic:blipFill>
                  <pic:spPr>
                    <a:xfrm>
                      <a:off x="0" y="0"/>
                      <a:ext cx="4836160" cy="3476625"/>
                    </a:xfrm>
                    <a:prstGeom prst="rect">
                      <a:avLst/>
                    </a:prstGeom>
                    <a:noFill/>
                    <a:ln w="9525">
                      <a:noFill/>
                      <a:miter lim="800000"/>
                      <a:headEnd/>
                      <a:tailEnd/>
                    </a:ln>
                  </pic:spPr>
                </pic:pic>
              </a:graphicData>
            </a:graphic>
          </wp:anchor>
        </w:drawing>
      </w:r>
    </w:p>
    <w:p>
      <w:pPr>
        <w:ind w:firstLine="640" w:firstLineChars="200"/>
        <w:rPr>
          <w:rFonts w:hint="eastAsia" w:ascii="仿宋" w:hAnsi="仿宋" w:eastAsia="仿宋"/>
          <w:sz w:val="32"/>
          <w:szCs w:val="32"/>
        </w:rPr>
      </w:pPr>
    </w:p>
    <w:p>
      <w:pPr>
        <w:ind w:firstLine="640" w:firstLineChars="200"/>
        <w:rPr>
          <w:rFonts w:hint="eastAsia" w:ascii="仿宋" w:hAnsi="仿宋" w:eastAsia="仿宋"/>
          <w:sz w:val="32"/>
          <w:szCs w:val="32"/>
        </w:rPr>
      </w:pPr>
    </w:p>
    <w:p>
      <w:pPr>
        <w:ind w:firstLine="640" w:firstLineChars="200"/>
        <w:rPr>
          <w:rFonts w:hint="eastAsia" w:ascii="仿宋" w:hAnsi="仿宋" w:eastAsia="仿宋"/>
          <w:sz w:val="32"/>
          <w:szCs w:val="32"/>
        </w:rPr>
      </w:pPr>
    </w:p>
    <w:p>
      <w:pPr>
        <w:ind w:firstLine="640" w:firstLineChars="200"/>
        <w:rPr>
          <w:rFonts w:hint="eastAsia" w:ascii="仿宋" w:hAnsi="仿宋" w:eastAsia="仿宋"/>
          <w:sz w:val="32"/>
          <w:szCs w:val="32"/>
        </w:rPr>
      </w:pPr>
    </w:p>
    <w:p>
      <w:pPr>
        <w:ind w:firstLine="640" w:firstLineChars="200"/>
        <w:rPr>
          <w:rFonts w:hint="eastAsia" w:ascii="仿宋" w:hAnsi="仿宋" w:eastAsia="仿宋"/>
          <w:sz w:val="32"/>
          <w:szCs w:val="32"/>
        </w:rPr>
      </w:pPr>
    </w:p>
    <w:p>
      <w:pPr>
        <w:ind w:firstLine="640" w:firstLineChars="200"/>
        <w:rPr>
          <w:rFonts w:hint="eastAsia" w:ascii="仿宋" w:hAnsi="仿宋" w:eastAsia="仿宋"/>
          <w:sz w:val="32"/>
          <w:szCs w:val="32"/>
        </w:rPr>
      </w:pPr>
    </w:p>
    <w:p>
      <w:pPr>
        <w:ind w:firstLine="640" w:firstLineChars="200"/>
        <w:rPr>
          <w:rFonts w:hint="eastAsia" w:ascii="仿宋" w:hAnsi="仿宋" w:eastAsia="仿宋"/>
          <w:sz w:val="32"/>
          <w:szCs w:val="32"/>
        </w:rPr>
      </w:pPr>
    </w:p>
    <w:p>
      <w:pPr>
        <w:ind w:firstLine="640" w:firstLineChars="200"/>
        <w:rPr>
          <w:rFonts w:hint="eastAsia" w:ascii="仿宋" w:hAnsi="仿宋" w:eastAsia="仿宋"/>
          <w:sz w:val="32"/>
          <w:szCs w:val="32"/>
        </w:rPr>
      </w:pPr>
    </w:p>
    <w:p>
      <w:pPr>
        <w:pStyle w:val="33"/>
        <w:spacing w:line="600" w:lineRule="exact"/>
        <w:ind w:firstLine="640"/>
        <w:outlineLvl w:val="1"/>
        <w:rPr>
          <w:rStyle w:val="27"/>
          <w:rFonts w:ascii="黑体" w:hAnsi="黑体" w:eastAsia="黑体"/>
          <w:b w:val="0"/>
        </w:rPr>
      </w:pPr>
      <w:r>
        <w:rPr>
          <w:rFonts w:hint="eastAsia" w:ascii="黑体" w:hAnsi="黑体" w:eastAsia="黑体"/>
          <w:sz w:val="32"/>
          <w:szCs w:val="32"/>
        </w:rPr>
        <w:t>二、</w:t>
      </w:r>
      <w:bookmarkStart w:id="22" w:name="_Toc15396604"/>
      <w:bookmarkStart w:id="23" w:name="_Toc15377206"/>
      <w:bookmarkStart w:id="24" w:name="_Toc79163611"/>
      <w:bookmarkStart w:id="25" w:name="_Toc79163861"/>
      <w:r>
        <w:rPr>
          <w:rFonts w:hint="eastAsia" w:ascii="黑体" w:hAnsi="黑体" w:eastAsia="黑体"/>
          <w:color w:val="000000"/>
          <w:sz w:val="32"/>
          <w:szCs w:val="32"/>
        </w:rPr>
        <w:t>收</w:t>
      </w:r>
      <w:r>
        <w:rPr>
          <w:rStyle w:val="27"/>
          <w:rFonts w:hint="eastAsia" w:ascii="黑体" w:hAnsi="黑体" w:eastAsia="黑体"/>
        </w:rPr>
        <w:t>入决算情况说明</w:t>
      </w:r>
      <w:bookmarkEnd w:id="22"/>
      <w:bookmarkEnd w:id="23"/>
      <w:bookmarkEnd w:id="24"/>
      <w:bookmarkEnd w:id="25"/>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年本年收入合计2320.29万元，其中：一般公共预算财政拨款收入2320.29万元，占100</w:t>
      </w:r>
      <w:r>
        <w:rPr>
          <w:rFonts w:ascii="仿宋" w:hAnsi="仿宋" w:eastAsia="仿宋"/>
          <w:color w:val="000000"/>
          <w:sz w:val="32"/>
          <w:szCs w:val="32"/>
        </w:rPr>
        <w:t>%</w:t>
      </w:r>
      <w:r>
        <w:rPr>
          <w:rFonts w:hint="eastAsia" w:ascii="仿宋" w:hAnsi="仿宋" w:eastAsia="仿宋"/>
          <w:color w:val="000000"/>
          <w:sz w:val="32"/>
          <w:szCs w:val="32"/>
        </w:rPr>
        <w:t>。</w:t>
      </w:r>
    </w:p>
    <w:p>
      <w:pPr>
        <w:pStyle w:val="25"/>
        <w:spacing w:line="600" w:lineRule="exact"/>
        <w:ind w:left="1360" w:firstLine="0" w:firstLineChars="0"/>
        <w:rPr>
          <w:rFonts w:ascii="仿宋" w:hAnsi="仿宋" w:eastAsia="仿宋"/>
          <w:color w:val="000000"/>
          <w:sz w:val="32"/>
          <w:szCs w:val="32"/>
        </w:rPr>
      </w:pPr>
      <w:r>
        <w:rPr>
          <w:rFonts w:hint="eastAsia" w:ascii="仿宋" w:hAnsi="仿宋" w:eastAsia="仿宋"/>
          <w:color w:val="000000"/>
          <w:sz w:val="32"/>
          <w:szCs w:val="32"/>
        </w:rPr>
        <w:t>（图2：收入决算总计变动情况图）（柱状图）</w:t>
      </w:r>
    </w:p>
    <w:p>
      <w:pPr>
        <w:adjustRightInd w:val="0"/>
        <w:snapToGrid w:val="0"/>
        <w:spacing w:line="360" w:lineRule="auto"/>
        <w:rPr>
          <w:rFonts w:ascii="仿宋" w:hAnsi="仿宋" w:eastAsia="仿宋"/>
          <w:sz w:val="32"/>
          <w:szCs w:val="32"/>
        </w:rPr>
      </w:pPr>
      <w:r>
        <w:rPr>
          <w:rFonts w:ascii="仿宋" w:hAnsi="仿宋" w:eastAsia="仿宋"/>
          <w:sz w:val="32"/>
          <w:szCs w:val="32"/>
        </w:rPr>
        <w:pict>
          <v:shape id="_x0000_s1026" o:spid="_x0000_s1026" o:spt="75" type="#_x0000_t75" style="position:absolute;left:0pt;margin-left:52.8pt;margin-top:18.6pt;height:234.75pt;width:342pt;z-index:251663360;mso-width-relative:page;mso-height-relative:page;" o:ole="t" filled="f" o:preferrelative="t" stroked="f" coordsize="21600,21600">
            <v:path/>
            <v:fill on="f" focussize="0,0"/>
            <v:stroke on="f" joinstyle="miter"/>
            <v:imagedata r:id="rId8" o:title=""/>
            <o:lock v:ext="edit" aspectratio="t"/>
          </v:shape>
          <o:OLEObject Type="Embed" ProgID="Excel.Chart.8" ShapeID="_x0000_s1026" DrawAspect="Content" ObjectID="_1468075725" r:id="rId7">
            <o:LockedField>false</o:LockedField>
          </o:OLEObject>
        </w:pict>
      </w:r>
    </w:p>
    <w:p>
      <w:pPr>
        <w:adjustRightInd w:val="0"/>
        <w:snapToGrid w:val="0"/>
        <w:spacing w:line="360" w:lineRule="auto"/>
        <w:rPr>
          <w:rFonts w:ascii="仿宋" w:hAnsi="仿宋" w:eastAsia="仿宋"/>
          <w:sz w:val="32"/>
          <w:szCs w:val="32"/>
        </w:rPr>
      </w:pPr>
    </w:p>
    <w:p>
      <w:pPr>
        <w:adjustRightInd w:val="0"/>
        <w:snapToGrid w:val="0"/>
        <w:spacing w:line="360" w:lineRule="auto"/>
        <w:rPr>
          <w:rFonts w:ascii="仿宋" w:hAnsi="仿宋" w:eastAsia="仿宋"/>
          <w:sz w:val="32"/>
          <w:szCs w:val="32"/>
        </w:rPr>
      </w:pPr>
    </w:p>
    <w:p>
      <w:pPr>
        <w:adjustRightInd w:val="0"/>
        <w:snapToGrid w:val="0"/>
        <w:spacing w:line="360" w:lineRule="auto"/>
        <w:rPr>
          <w:rFonts w:ascii="仿宋" w:hAnsi="仿宋" w:eastAsia="仿宋"/>
          <w:sz w:val="32"/>
          <w:szCs w:val="32"/>
        </w:rPr>
      </w:pPr>
    </w:p>
    <w:p>
      <w:pPr>
        <w:adjustRightInd w:val="0"/>
        <w:snapToGrid w:val="0"/>
        <w:spacing w:line="360" w:lineRule="auto"/>
        <w:rPr>
          <w:rFonts w:ascii="仿宋" w:hAnsi="仿宋" w:eastAsia="仿宋"/>
          <w:sz w:val="32"/>
          <w:szCs w:val="32"/>
        </w:rPr>
      </w:pPr>
    </w:p>
    <w:p>
      <w:pPr>
        <w:adjustRightInd w:val="0"/>
        <w:snapToGrid w:val="0"/>
        <w:spacing w:line="360" w:lineRule="auto"/>
        <w:rPr>
          <w:rFonts w:ascii="仿宋" w:hAnsi="仿宋" w:eastAsia="仿宋"/>
          <w:sz w:val="32"/>
          <w:szCs w:val="32"/>
        </w:rPr>
      </w:pPr>
    </w:p>
    <w:p>
      <w:pPr>
        <w:spacing w:line="360" w:lineRule="auto"/>
        <w:rPr>
          <w:rFonts w:ascii="仿宋" w:hAnsi="仿宋" w:eastAsia="仿宋"/>
          <w:sz w:val="32"/>
          <w:szCs w:val="32"/>
        </w:rPr>
      </w:pPr>
    </w:p>
    <w:p>
      <w:pPr>
        <w:ind w:firstLine="640" w:firstLineChars="200"/>
        <w:rPr>
          <w:rFonts w:hint="eastAsia" w:ascii="仿宋" w:hAnsi="仿宋" w:eastAsia="仿宋"/>
          <w:sz w:val="32"/>
          <w:szCs w:val="32"/>
        </w:rPr>
      </w:pPr>
    </w:p>
    <w:p>
      <w:pPr>
        <w:spacing w:line="600" w:lineRule="exact"/>
        <w:rPr>
          <w:rFonts w:ascii="仿宋" w:hAnsi="仿宋" w:eastAsia="仿宋"/>
          <w:color w:val="000000" w:themeColor="text1"/>
          <w:sz w:val="32"/>
          <w:szCs w:val="32"/>
        </w:rPr>
      </w:pPr>
    </w:p>
    <w:p>
      <w:pPr>
        <w:spacing w:line="600" w:lineRule="exact"/>
        <w:ind w:firstLine="800" w:firstLineChars="250"/>
        <w:outlineLvl w:val="1"/>
        <w:rPr>
          <w:rFonts w:hint="eastAsia" w:ascii="黑体" w:hAnsi="黑体" w:eastAsia="黑体"/>
          <w:color w:val="000000"/>
          <w:sz w:val="32"/>
          <w:szCs w:val="32"/>
        </w:rPr>
      </w:pPr>
      <w:bookmarkStart w:id="26" w:name="_Toc15377207"/>
      <w:bookmarkStart w:id="27" w:name="_Toc15396605"/>
    </w:p>
    <w:p>
      <w:pPr>
        <w:spacing w:line="600" w:lineRule="exact"/>
        <w:ind w:firstLine="800" w:firstLineChars="250"/>
        <w:outlineLvl w:val="1"/>
        <w:rPr>
          <w:rStyle w:val="27"/>
          <w:rFonts w:ascii="黑体" w:hAnsi="黑体" w:eastAsia="黑体"/>
          <w:b w:val="0"/>
        </w:rPr>
      </w:pPr>
      <w:r>
        <w:rPr>
          <w:rFonts w:hint="eastAsia" w:ascii="黑体" w:hAnsi="黑体" w:eastAsia="黑体"/>
          <w:color w:val="000000"/>
          <w:sz w:val="32"/>
          <w:szCs w:val="32"/>
        </w:rPr>
        <w:t>三、支</w:t>
      </w:r>
      <w:r>
        <w:rPr>
          <w:rStyle w:val="27"/>
          <w:rFonts w:hint="eastAsia" w:ascii="黑体" w:hAnsi="黑体" w:eastAsia="黑体"/>
          <w:b w:val="0"/>
        </w:rPr>
        <w:t>出决算情况说明</w:t>
      </w:r>
      <w:bookmarkEnd w:id="26"/>
      <w:bookmarkEnd w:id="27"/>
    </w:p>
    <w:p>
      <w:pPr>
        <w:ind w:firstLine="640" w:firstLineChars="200"/>
        <w:rPr>
          <w:rFonts w:ascii="仿宋" w:hAnsi="仿宋" w:eastAsia="仿宋"/>
          <w:sz w:val="32"/>
          <w:szCs w:val="32"/>
        </w:rPr>
      </w:pPr>
      <w:r>
        <w:rPr>
          <w:rFonts w:hint="eastAsia" w:ascii="仿宋" w:hAnsi="仿宋" w:eastAsia="仿宋"/>
          <w:sz w:val="32"/>
          <w:szCs w:val="32"/>
        </w:rPr>
        <w:t>2020年阿坝州检察院总支出为2595.01万元，其中财政拨款支出为2595.01万元。财政拨款支出较2019年财政拨款支出（2789.32万元）减少0.9%，其原因为： 2020年我院涉及机构改革人员转隶，经费使用相对减少。</w:t>
      </w:r>
    </w:p>
    <w:p>
      <w:pPr>
        <w:spacing w:line="600" w:lineRule="exact"/>
        <w:ind w:firstLine="960" w:firstLineChars="300"/>
        <w:rPr>
          <w:rFonts w:hint="eastAsia" w:ascii="仿宋" w:hAnsi="仿宋" w:eastAsia="仿宋"/>
          <w:color w:val="000000" w:themeColor="text1"/>
          <w:sz w:val="32"/>
          <w:szCs w:val="32"/>
        </w:rPr>
      </w:pPr>
    </w:p>
    <w:p>
      <w:pPr>
        <w:spacing w:line="600" w:lineRule="exact"/>
        <w:ind w:firstLine="960" w:firstLineChars="300"/>
        <w:rPr>
          <w:rFonts w:hint="eastAsia" w:ascii="仿宋" w:hAnsi="仿宋" w:eastAsia="仿宋"/>
          <w:color w:val="000000" w:themeColor="text1"/>
          <w:sz w:val="32"/>
          <w:szCs w:val="32"/>
        </w:rPr>
      </w:pPr>
      <w:r>
        <w:rPr>
          <w:rFonts w:ascii="仿宋_GB2312" w:eastAsia="仿宋_GB2312"/>
          <w:color w:val="FF0000"/>
          <w:sz w:val="32"/>
          <w:szCs w:val="32"/>
        </w:rPr>
        <w:drawing>
          <wp:anchor distT="0" distB="0" distL="114300" distR="114300" simplePos="0" relativeHeight="251659264" behindDoc="0" locked="0" layoutInCell="1" allowOverlap="1">
            <wp:simplePos x="0" y="0"/>
            <wp:positionH relativeFrom="column">
              <wp:posOffset>601980</wp:posOffset>
            </wp:positionH>
            <wp:positionV relativeFrom="paragraph">
              <wp:posOffset>655955</wp:posOffset>
            </wp:positionV>
            <wp:extent cx="4152900" cy="2269490"/>
            <wp:effectExtent l="19050" t="0" r="19050" b="0"/>
            <wp:wrapSquare wrapText="bothSides"/>
            <wp:docPr id="19" name="对象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hAnsi="仿宋" w:eastAsia="仿宋"/>
          <w:color w:val="000000" w:themeColor="text1"/>
          <w:sz w:val="32"/>
          <w:szCs w:val="32"/>
        </w:rPr>
        <w:t>（图3：支出决算结构图）（饼状图）</w:t>
      </w:r>
    </w:p>
    <w:p>
      <w:pPr>
        <w:spacing w:line="600" w:lineRule="exact"/>
        <w:ind w:firstLine="960" w:firstLineChars="300"/>
        <w:rPr>
          <w:rFonts w:hint="eastAsia" w:ascii="仿宋" w:hAnsi="仿宋" w:eastAsia="仿宋"/>
          <w:color w:val="000000" w:themeColor="text1"/>
          <w:sz w:val="32"/>
          <w:szCs w:val="32"/>
        </w:rPr>
      </w:pPr>
    </w:p>
    <w:p>
      <w:pPr>
        <w:spacing w:line="600" w:lineRule="exact"/>
        <w:ind w:firstLine="960" w:firstLineChars="300"/>
        <w:rPr>
          <w:rFonts w:hint="eastAsia" w:ascii="仿宋" w:hAnsi="仿宋" w:eastAsia="仿宋"/>
          <w:color w:val="000000" w:themeColor="text1"/>
          <w:sz w:val="32"/>
          <w:szCs w:val="32"/>
        </w:rPr>
      </w:pPr>
    </w:p>
    <w:p>
      <w:pPr>
        <w:spacing w:line="600" w:lineRule="exact"/>
        <w:ind w:firstLine="960" w:firstLineChars="300"/>
        <w:rPr>
          <w:rFonts w:hint="eastAsia" w:ascii="仿宋" w:hAnsi="仿宋" w:eastAsia="仿宋"/>
          <w:color w:val="000000" w:themeColor="text1"/>
          <w:sz w:val="32"/>
          <w:szCs w:val="32"/>
        </w:rPr>
      </w:pPr>
    </w:p>
    <w:p>
      <w:pPr>
        <w:spacing w:line="600" w:lineRule="exact"/>
        <w:ind w:firstLine="960" w:firstLineChars="300"/>
        <w:rPr>
          <w:rFonts w:hint="eastAsia" w:ascii="仿宋" w:hAnsi="仿宋" w:eastAsia="仿宋"/>
          <w:color w:val="000000" w:themeColor="text1"/>
          <w:sz w:val="32"/>
          <w:szCs w:val="32"/>
        </w:rPr>
      </w:pPr>
    </w:p>
    <w:p>
      <w:pPr>
        <w:spacing w:line="600" w:lineRule="exact"/>
        <w:ind w:firstLine="960" w:firstLineChars="300"/>
        <w:rPr>
          <w:rFonts w:hint="eastAsia" w:ascii="仿宋" w:hAnsi="仿宋" w:eastAsia="仿宋"/>
          <w:color w:val="000000" w:themeColor="text1"/>
          <w:sz w:val="32"/>
          <w:szCs w:val="32"/>
        </w:rPr>
      </w:pPr>
    </w:p>
    <w:p>
      <w:pPr>
        <w:spacing w:line="600" w:lineRule="exact"/>
        <w:ind w:firstLine="960" w:firstLineChars="300"/>
        <w:rPr>
          <w:rFonts w:hint="eastAsia" w:ascii="仿宋" w:hAnsi="仿宋" w:eastAsia="仿宋"/>
          <w:color w:val="000000" w:themeColor="text1"/>
          <w:sz w:val="32"/>
          <w:szCs w:val="32"/>
        </w:rPr>
      </w:pPr>
    </w:p>
    <w:p>
      <w:pPr>
        <w:spacing w:line="600" w:lineRule="exact"/>
        <w:ind w:firstLine="960" w:firstLineChars="300"/>
        <w:rPr>
          <w:rFonts w:hint="eastAsia" w:ascii="仿宋" w:hAnsi="仿宋" w:eastAsia="仿宋"/>
          <w:color w:val="000000" w:themeColor="text1"/>
          <w:sz w:val="32"/>
          <w:szCs w:val="32"/>
        </w:rPr>
      </w:pPr>
    </w:p>
    <w:p>
      <w:pPr>
        <w:spacing w:line="600" w:lineRule="exact"/>
        <w:ind w:firstLine="960" w:firstLineChars="300"/>
        <w:rPr>
          <w:rFonts w:ascii="黑体" w:hAnsi="黑体" w:eastAsia="黑体"/>
          <w:color w:val="000000"/>
          <w:sz w:val="32"/>
          <w:szCs w:val="32"/>
        </w:rPr>
      </w:pPr>
      <w:bookmarkStart w:id="28" w:name="_Toc15377208"/>
      <w:bookmarkStart w:id="29" w:name="_Toc15396606"/>
    </w:p>
    <w:p>
      <w:pPr>
        <w:spacing w:line="600" w:lineRule="exact"/>
        <w:ind w:firstLine="640" w:firstLineChars="200"/>
        <w:outlineLvl w:val="1"/>
        <w:rPr>
          <w:rStyle w:val="27"/>
          <w:rFonts w:ascii="黑体" w:hAnsi="黑体" w:eastAsia="黑体"/>
          <w:b w:val="0"/>
        </w:rPr>
      </w:pPr>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28"/>
      <w:bookmarkEnd w:id="29"/>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2020年财政拨款收入总计2320.29万元。与</w:t>
      </w:r>
      <w:r>
        <w:rPr>
          <w:rFonts w:ascii="仿宋" w:hAnsi="仿宋" w:eastAsia="仿宋"/>
          <w:color w:val="000000"/>
          <w:sz w:val="32"/>
          <w:szCs w:val="32"/>
        </w:rPr>
        <w:t>201</w:t>
      </w:r>
      <w:r>
        <w:rPr>
          <w:rFonts w:hint="eastAsia" w:ascii="仿宋" w:hAnsi="仿宋" w:eastAsia="仿宋"/>
          <w:color w:val="000000"/>
          <w:sz w:val="32"/>
          <w:szCs w:val="32"/>
        </w:rPr>
        <w:t>9年相比，财政拨款收入总计各减少442.86万元，减少16.03</w:t>
      </w:r>
      <w:r>
        <w:rPr>
          <w:rFonts w:ascii="仿宋" w:hAnsi="仿宋" w:eastAsia="仿宋"/>
          <w:color w:val="000000"/>
          <w:sz w:val="32"/>
          <w:szCs w:val="32"/>
        </w:rPr>
        <w:t>%</w:t>
      </w:r>
      <w:r>
        <w:rPr>
          <w:rFonts w:hint="eastAsia" w:ascii="仿宋" w:hAnsi="仿宋" w:eastAsia="仿宋"/>
          <w:color w:val="000000"/>
          <w:sz w:val="32"/>
          <w:szCs w:val="32"/>
        </w:rPr>
        <w:t>。主要变动原因是1.厉行节约2.压减日常公用开支3.人员减少（司法体制改革转隶到纪委监委）。</w:t>
      </w: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（图4：财政拨款收、支决算总计变动情况）</w:t>
      </w:r>
    </w:p>
    <w:p>
      <w:pPr>
        <w:spacing w:line="600" w:lineRule="exact"/>
        <w:ind w:firstLine="2720" w:firstLineChars="850"/>
        <w:rPr>
          <w:rFonts w:ascii="仿宋" w:hAnsi="仿宋" w:eastAsia="仿宋"/>
          <w:color w:val="000000" w:themeColor="text1"/>
          <w:sz w:val="32"/>
          <w:szCs w:val="32"/>
        </w:rPr>
      </w:pPr>
      <w:r>
        <w:rPr>
          <w:rFonts w:hint="eastAsia" w:ascii="仿宋" w:hAnsi="仿宋" w:eastAsia="仿宋"/>
          <w:color w:val="000000" w:themeColor="text1"/>
          <w:sz w:val="32"/>
          <w:szCs w:val="32"/>
        </w:rPr>
        <w:t>（柱状图）</w:t>
      </w:r>
    </w:p>
    <w:p>
      <w:pPr>
        <w:spacing w:line="600" w:lineRule="exact"/>
        <w:ind w:firstLine="640"/>
        <w:rPr>
          <w:rFonts w:ascii="仿宋" w:hAnsi="仿宋" w:eastAsia="仿宋"/>
          <w:b/>
          <w:color w:val="000000" w:themeColor="text1"/>
          <w:sz w:val="32"/>
          <w:szCs w:val="32"/>
        </w:rPr>
      </w:pPr>
      <w:r>
        <w:rPr>
          <w:rFonts w:hint="eastAsia" w:ascii="仿宋" w:hAnsi="仿宋" w:eastAsia="仿宋"/>
          <w:b/>
          <w:color w:val="000000" w:themeColor="text1"/>
          <w:sz w:val="32"/>
          <w:szCs w:val="32"/>
        </w:rPr>
        <w:drawing>
          <wp:anchor distT="0" distB="0" distL="114300" distR="114300" simplePos="0" relativeHeight="251660288" behindDoc="0" locked="0" layoutInCell="1" allowOverlap="1">
            <wp:simplePos x="0" y="0"/>
            <wp:positionH relativeFrom="column">
              <wp:posOffset>438150</wp:posOffset>
            </wp:positionH>
            <wp:positionV relativeFrom="paragraph">
              <wp:posOffset>351790</wp:posOffset>
            </wp:positionV>
            <wp:extent cx="4415790" cy="1891665"/>
            <wp:effectExtent l="19050" t="0" r="22860" b="0"/>
            <wp:wrapNone/>
            <wp:docPr id="24"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rPr>
          <w:rFonts w:ascii="仿宋" w:hAnsi="仿宋" w:eastAsia="仿宋"/>
          <w:b/>
          <w:color w:val="000000" w:themeColor="text1"/>
          <w:sz w:val="32"/>
          <w:szCs w:val="32"/>
        </w:rPr>
      </w:pPr>
    </w:p>
    <w:p>
      <w:pPr>
        <w:spacing w:line="600" w:lineRule="exact"/>
        <w:rPr>
          <w:rFonts w:ascii="仿宋" w:hAnsi="仿宋" w:eastAsia="仿宋"/>
          <w:b/>
          <w:color w:val="000000" w:themeColor="text1"/>
          <w:sz w:val="32"/>
          <w:szCs w:val="32"/>
        </w:rPr>
      </w:pPr>
    </w:p>
    <w:p>
      <w:pPr>
        <w:spacing w:line="600" w:lineRule="exact"/>
        <w:rPr>
          <w:rFonts w:ascii="仿宋" w:hAnsi="仿宋" w:eastAsia="仿宋"/>
          <w:b/>
          <w:color w:val="000000" w:themeColor="text1"/>
          <w:sz w:val="32"/>
          <w:szCs w:val="32"/>
        </w:rPr>
      </w:pPr>
    </w:p>
    <w:p>
      <w:pPr>
        <w:spacing w:line="600" w:lineRule="exact"/>
        <w:ind w:firstLine="960" w:firstLineChars="300"/>
        <w:outlineLvl w:val="1"/>
        <w:rPr>
          <w:rStyle w:val="27"/>
          <w:rFonts w:ascii="黑体" w:hAnsi="黑体" w:eastAsia="黑体"/>
          <w:b w:val="0"/>
        </w:rPr>
      </w:pPr>
      <w:bookmarkStart w:id="30" w:name="_Toc15377209"/>
      <w:bookmarkStart w:id="31"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30"/>
      <w:bookmarkEnd w:id="31"/>
    </w:p>
    <w:p>
      <w:pPr>
        <w:spacing w:line="600" w:lineRule="exact"/>
        <w:ind w:firstLine="643" w:firstLineChars="200"/>
        <w:outlineLvl w:val="2"/>
        <w:rPr>
          <w:rFonts w:ascii="仿宋" w:hAnsi="仿宋" w:eastAsia="仿宋"/>
          <w:b/>
          <w:color w:val="000000"/>
          <w:sz w:val="32"/>
          <w:szCs w:val="32"/>
        </w:rPr>
      </w:pPr>
      <w:bookmarkStart w:id="32" w:name="_Toc15377210"/>
      <w:r>
        <w:rPr>
          <w:rFonts w:hint="eastAsia" w:ascii="仿宋" w:hAnsi="仿宋" w:eastAsia="仿宋"/>
          <w:b/>
          <w:color w:val="000000"/>
          <w:sz w:val="32"/>
          <w:szCs w:val="32"/>
        </w:rPr>
        <w:t>（一）一般公共预算财政拨款支出决算总体情况</w:t>
      </w:r>
      <w:bookmarkEnd w:id="32"/>
    </w:p>
    <w:p>
      <w:pPr>
        <w:spacing w:line="600" w:lineRule="exact"/>
        <w:rPr>
          <w:rFonts w:ascii="仿宋" w:hAnsi="仿宋" w:eastAsia="仿宋"/>
          <w:color w:val="000000" w:themeColor="text1"/>
          <w:sz w:val="32"/>
          <w:szCs w:val="32"/>
        </w:rPr>
      </w:pPr>
    </w:p>
    <w:p>
      <w:pPr>
        <w:spacing w:line="600" w:lineRule="exact"/>
        <w:rPr>
          <w:rFonts w:hint="eastAsia" w:ascii="仿宋" w:hAnsi="仿宋" w:eastAsia="仿宋"/>
          <w:color w:val="000000" w:themeColor="text1"/>
          <w:sz w:val="32"/>
          <w:szCs w:val="32"/>
        </w:rPr>
      </w:pPr>
    </w:p>
    <w:p>
      <w:pPr>
        <w:spacing w:line="600" w:lineRule="exact"/>
        <w:ind w:firstLine="480" w:firstLineChars="150"/>
        <w:rPr>
          <w:rFonts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w:t>
      </w:r>
    </w:p>
    <w:p>
      <w:pPr>
        <w:spacing w:line="600" w:lineRule="exact"/>
        <w:ind w:firstLine="3200" w:firstLineChars="1000"/>
        <w:rPr>
          <w:rFonts w:ascii="仿宋" w:hAnsi="仿宋" w:eastAsia="仿宋"/>
          <w:color w:val="000000" w:themeColor="text1"/>
          <w:sz w:val="32"/>
          <w:szCs w:val="32"/>
        </w:rPr>
      </w:pPr>
      <w:r>
        <w:rPr>
          <w:rFonts w:hint="eastAsia" w:ascii="仿宋" w:hAnsi="仿宋" w:eastAsia="仿宋"/>
          <w:color w:val="000000" w:themeColor="text1"/>
          <w:sz w:val="32"/>
          <w:szCs w:val="32"/>
        </w:rPr>
        <w:t>（柱状图</w:t>
      </w:r>
      <w:bookmarkStart w:id="33" w:name="_Toc15377211"/>
      <w:r>
        <w:rPr>
          <w:rFonts w:hint="eastAsia" w:ascii="仿宋" w:hAnsi="仿宋" w:eastAsia="仿宋"/>
          <w:color w:val="000000" w:themeColor="text1"/>
          <w:sz w:val="32"/>
          <w:szCs w:val="32"/>
        </w:rPr>
        <w:t>）</w:t>
      </w:r>
    </w:p>
    <w:p>
      <w:pPr>
        <w:spacing w:line="600" w:lineRule="exact"/>
        <w:ind w:firstLine="3200" w:firstLineChars="1000"/>
        <w:rPr>
          <w:rFonts w:ascii="仿宋" w:hAnsi="仿宋" w:eastAsia="仿宋"/>
          <w:color w:val="000000" w:themeColor="text1"/>
          <w:sz w:val="32"/>
          <w:szCs w:val="32"/>
        </w:rPr>
      </w:pPr>
      <w:r>
        <w:rPr>
          <w:rFonts w:ascii="仿宋" w:hAnsi="仿宋" w:eastAsia="仿宋"/>
          <w:color w:val="000000" w:themeColor="text1"/>
          <w:sz w:val="32"/>
          <w:szCs w:val="32"/>
        </w:rPr>
        <w:drawing>
          <wp:anchor distT="0" distB="0" distL="114300" distR="114300" simplePos="0" relativeHeight="251661312" behindDoc="0" locked="0" layoutInCell="1" allowOverlap="1">
            <wp:simplePos x="0" y="0"/>
            <wp:positionH relativeFrom="column">
              <wp:posOffset>420370</wp:posOffset>
            </wp:positionH>
            <wp:positionV relativeFrom="paragraph">
              <wp:posOffset>189865</wp:posOffset>
            </wp:positionV>
            <wp:extent cx="4410710" cy="1842770"/>
            <wp:effectExtent l="5080" t="4445" r="19050" b="12065"/>
            <wp:wrapNone/>
            <wp:docPr id="25" name="图表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3200" w:firstLineChars="1000"/>
        <w:rPr>
          <w:rFonts w:ascii="仿宋" w:hAnsi="仿宋" w:eastAsia="仿宋"/>
          <w:color w:val="000000" w:themeColor="text1"/>
          <w:sz w:val="32"/>
          <w:szCs w:val="32"/>
        </w:rPr>
      </w:pPr>
    </w:p>
    <w:p>
      <w:pPr>
        <w:spacing w:line="600" w:lineRule="exact"/>
        <w:ind w:firstLine="3200" w:firstLineChars="1000"/>
        <w:rPr>
          <w:rFonts w:ascii="仿宋" w:hAnsi="仿宋" w:eastAsia="仿宋"/>
          <w:color w:val="000000" w:themeColor="text1"/>
          <w:sz w:val="32"/>
          <w:szCs w:val="32"/>
        </w:rPr>
      </w:pPr>
    </w:p>
    <w:p>
      <w:pPr>
        <w:spacing w:line="600" w:lineRule="exact"/>
        <w:ind w:firstLine="3200" w:firstLineChars="1000"/>
        <w:rPr>
          <w:rFonts w:ascii="仿宋" w:hAnsi="仿宋" w:eastAsia="仿宋"/>
          <w:color w:val="000000" w:themeColor="text1"/>
          <w:sz w:val="32"/>
          <w:szCs w:val="32"/>
        </w:rPr>
      </w:pPr>
    </w:p>
    <w:p>
      <w:pPr>
        <w:spacing w:line="600" w:lineRule="exact"/>
        <w:ind w:firstLine="3200" w:firstLineChars="1000"/>
        <w:rPr>
          <w:rFonts w:ascii="仿宋" w:hAnsi="仿宋" w:eastAsia="仿宋"/>
          <w:color w:val="000000" w:themeColor="text1"/>
          <w:sz w:val="32"/>
          <w:szCs w:val="32"/>
        </w:rPr>
      </w:pPr>
    </w:p>
    <w:p>
      <w:pPr>
        <w:spacing w:line="600" w:lineRule="exact"/>
        <w:ind w:firstLine="3200" w:firstLineChars="1000"/>
        <w:rPr>
          <w:rFonts w:ascii="仿宋" w:hAnsi="仿宋" w:eastAsia="仿宋"/>
          <w:color w:val="000000" w:themeColor="text1"/>
          <w:sz w:val="32"/>
          <w:szCs w:val="32"/>
        </w:rPr>
      </w:pPr>
    </w:p>
    <w:p>
      <w:pPr>
        <w:spacing w:line="600" w:lineRule="exact"/>
        <w:outlineLvl w:val="1"/>
        <w:rPr>
          <w:rFonts w:ascii="黑体" w:hAnsi="黑体" w:eastAsia="黑体" w:cstheme="majorBidi"/>
          <w:bCs/>
          <w:sz w:val="32"/>
          <w:szCs w:val="32"/>
        </w:rPr>
      </w:pPr>
      <w:bookmarkStart w:id="34" w:name="_Toc79163864"/>
      <w:bookmarkStart w:id="35" w:name="_Toc7916361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rPr>
        <w:t>般公共预算财政拨款支出决算情况说明</w:t>
      </w:r>
      <w:bookmarkEnd w:id="34"/>
      <w:bookmarkEnd w:id="35"/>
    </w:p>
    <w:p>
      <w:pPr>
        <w:spacing w:line="600" w:lineRule="exact"/>
        <w:ind w:firstLine="482" w:firstLineChars="150"/>
        <w:rPr>
          <w:rFonts w:ascii="仿宋" w:hAnsi="仿宋" w:eastAsia="仿宋"/>
          <w:color w:val="000000"/>
          <w:sz w:val="32"/>
          <w:szCs w:val="32"/>
        </w:rPr>
      </w:pPr>
      <w:r>
        <w:rPr>
          <w:rFonts w:hint="eastAsia" w:ascii="仿宋" w:hAnsi="仿宋" w:eastAsia="仿宋"/>
          <w:b/>
          <w:color w:val="000000"/>
          <w:sz w:val="32"/>
          <w:szCs w:val="32"/>
        </w:rPr>
        <w:t>（一）一般公共预算财政拨款支出决算结构情况</w:t>
      </w:r>
      <w:bookmarkEnd w:id="33"/>
    </w:p>
    <w:p>
      <w:pPr>
        <w:spacing w:line="600" w:lineRule="exact"/>
        <w:ind w:firstLine="640"/>
        <w:rPr>
          <w:rFonts w:ascii="仿宋" w:hAnsi="仿宋" w:eastAsia="仿宋"/>
          <w:color w:val="000000" w:themeColor="text1"/>
          <w:sz w:val="32"/>
          <w:szCs w:val="32"/>
        </w:rPr>
      </w:pPr>
      <w:r>
        <w:rPr>
          <w:rFonts w:hint="eastAsia" w:ascii="仿宋" w:hAnsi="仿宋" w:eastAsia="仿宋"/>
          <w:color w:val="000000"/>
          <w:sz w:val="32"/>
          <w:szCs w:val="32"/>
        </w:rPr>
        <w:t>2020年一般公共预算财</w:t>
      </w:r>
      <w:r>
        <w:rPr>
          <w:rFonts w:hint="eastAsia" w:ascii="仿宋" w:hAnsi="仿宋" w:eastAsia="仿宋"/>
          <w:color w:val="000000" w:themeColor="text1"/>
          <w:sz w:val="32"/>
          <w:szCs w:val="32"/>
        </w:rPr>
        <w:t>政拨款支出2595.01万元，主要用于以下方面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 xml:space="preserve"> 公共安全（204）</w:t>
      </w:r>
      <w:r>
        <w:rPr>
          <w:rFonts w:hint="eastAsia" w:ascii="仿宋" w:hAnsi="仿宋" w:eastAsia="仿宋"/>
          <w:bCs/>
          <w:color w:val="000000" w:themeColor="text1"/>
          <w:sz w:val="32"/>
          <w:szCs w:val="32"/>
        </w:rPr>
        <w:t>支出2204.88万元，</w:t>
      </w:r>
      <w:r>
        <w:rPr>
          <w:rFonts w:hint="eastAsia" w:ascii="仿宋" w:hAnsi="仿宋" w:eastAsia="仿宋"/>
          <w:color w:val="000000" w:themeColor="text1"/>
          <w:sz w:val="32"/>
          <w:szCs w:val="32"/>
        </w:rPr>
        <w:t>占84.97</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社会保障和就业（208）</w:t>
      </w:r>
      <w:r>
        <w:rPr>
          <w:rFonts w:hint="eastAsia" w:ascii="仿宋" w:hAnsi="仿宋" w:eastAsia="仿宋"/>
          <w:color w:val="000000" w:themeColor="text1"/>
          <w:sz w:val="32"/>
          <w:szCs w:val="32"/>
        </w:rPr>
        <w:t>支出155.92万元，占6.01</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医疗卫生（210）</w:t>
      </w:r>
      <w:r>
        <w:rPr>
          <w:rFonts w:hint="eastAsia" w:ascii="仿宋" w:hAnsi="仿宋" w:eastAsia="仿宋"/>
          <w:color w:val="000000" w:themeColor="text1"/>
          <w:sz w:val="32"/>
          <w:szCs w:val="32"/>
        </w:rPr>
        <w:t>支出94.67万元，占3.65</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住房保障支出（221）</w:t>
      </w:r>
      <w:r>
        <w:rPr>
          <w:rFonts w:hint="eastAsia" w:ascii="仿宋" w:hAnsi="仿宋" w:eastAsia="仿宋"/>
          <w:color w:val="000000" w:themeColor="text1"/>
          <w:sz w:val="32"/>
          <w:szCs w:val="32"/>
        </w:rPr>
        <w:t>139.54万元，占5.38</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spacing w:line="600" w:lineRule="exact"/>
        <w:ind w:firstLine="320" w:firstLineChars="1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4384" behindDoc="0" locked="0" layoutInCell="1" allowOverlap="1">
            <wp:simplePos x="0" y="0"/>
            <wp:positionH relativeFrom="column">
              <wp:posOffset>290195</wp:posOffset>
            </wp:positionH>
            <wp:positionV relativeFrom="paragraph">
              <wp:posOffset>20955</wp:posOffset>
            </wp:positionV>
            <wp:extent cx="4808220" cy="2705735"/>
            <wp:effectExtent l="19050" t="0" r="11430" b="0"/>
            <wp:wrapNone/>
            <wp:docPr id="29" name="图表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6" w:name="_Toc15377212"/>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（二）一般公共预算财政拨款支出决算具体情况</w:t>
      </w:r>
      <w:bookmarkEnd w:id="36"/>
    </w:p>
    <w:p>
      <w:pPr>
        <w:spacing w:line="600" w:lineRule="exact"/>
        <w:ind w:firstLine="640" w:firstLineChars="200"/>
        <w:outlineLvl w:val="2"/>
        <w:rPr>
          <w:rFonts w:ascii="仿宋" w:hAnsi="仿宋" w:eastAsia="仿宋"/>
          <w:bCs/>
          <w:color w:val="FF0000"/>
          <w:sz w:val="32"/>
          <w:szCs w:val="32"/>
        </w:rPr>
      </w:pPr>
      <w:bookmarkStart w:id="37" w:name="_Toc15377213"/>
      <w:bookmarkStart w:id="38" w:name="_Toc15378460"/>
      <w:bookmarkStart w:id="39" w:name="_Toc15377444"/>
      <w:r>
        <w:rPr>
          <w:rFonts w:hint="eastAsia" w:ascii="仿宋" w:hAnsi="仿宋" w:eastAsia="仿宋"/>
          <w:bCs/>
          <w:color w:val="000000" w:themeColor="text1"/>
          <w:sz w:val="32"/>
          <w:szCs w:val="32"/>
        </w:rPr>
        <w:t>2020年一般公共预算支出决算数为2559.67</w:t>
      </w:r>
      <w:r>
        <w:rPr>
          <w:rFonts w:ascii="仿宋" w:hAnsi="仿宋" w:eastAsia="仿宋"/>
          <w:bCs/>
          <w:color w:val="000000" w:themeColor="text1"/>
          <w:sz w:val="32"/>
          <w:szCs w:val="32"/>
        </w:rPr>
        <w:t>万元</w:t>
      </w:r>
      <w:r>
        <w:rPr>
          <w:rFonts w:hint="eastAsia" w:ascii="仿宋" w:hAnsi="仿宋" w:eastAsia="仿宋"/>
          <w:bCs/>
          <w:color w:val="000000" w:themeColor="text1"/>
          <w:sz w:val="32"/>
          <w:szCs w:val="32"/>
        </w:rPr>
        <w:t>，</w:t>
      </w:r>
      <w:r>
        <w:rPr>
          <w:rStyle w:val="16"/>
          <w:rFonts w:hint="eastAsia" w:ascii="仿宋" w:hAnsi="仿宋" w:eastAsia="仿宋"/>
          <w:b w:val="0"/>
          <w:bCs/>
          <w:color w:val="000000" w:themeColor="text1"/>
          <w:sz w:val="32"/>
          <w:szCs w:val="32"/>
        </w:rPr>
        <w:t>完成</w:t>
      </w:r>
      <w:r>
        <w:rPr>
          <w:rStyle w:val="16"/>
          <w:rFonts w:hint="eastAsia" w:ascii="仿宋" w:hAnsi="仿宋" w:eastAsia="仿宋"/>
          <w:b w:val="0"/>
          <w:bCs/>
          <w:color w:val="000000"/>
          <w:sz w:val="32"/>
          <w:szCs w:val="32"/>
        </w:rPr>
        <w:t>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。其中：</w:t>
      </w:r>
      <w:bookmarkEnd w:id="37"/>
      <w:bookmarkEnd w:id="38"/>
      <w:bookmarkEnd w:id="39"/>
    </w:p>
    <w:p>
      <w:pPr>
        <w:spacing w:line="600" w:lineRule="exact"/>
        <w:ind w:firstLine="640" w:firstLineChars="200"/>
        <w:rPr>
          <w:rStyle w:val="16"/>
          <w:rFonts w:ascii="仿宋_GB2312" w:eastAsia="仿宋_GB2312"/>
          <w:b w:val="0"/>
          <w:bCs/>
          <w:color w:val="000000"/>
          <w:sz w:val="32"/>
          <w:szCs w:val="32"/>
        </w:rPr>
      </w:pPr>
      <w:r>
        <w:rPr>
          <w:rStyle w:val="16"/>
          <w:rFonts w:hint="eastAsia" w:ascii="仿宋" w:hAnsi="仿宋" w:eastAsia="仿宋"/>
          <w:b w:val="0"/>
          <w:bCs/>
          <w:color w:val="000000"/>
          <w:sz w:val="32"/>
          <w:szCs w:val="32"/>
        </w:rPr>
        <w:t>1.公共安全（204）检察（04）行政运行（01）:</w:t>
      </w:r>
      <w:r>
        <w:rPr>
          <w:rStyle w:val="16"/>
          <w:rFonts w:hint="eastAsia" w:ascii="仿宋_GB2312" w:eastAsia="仿宋_GB2312"/>
          <w:b w:val="0"/>
          <w:bCs/>
          <w:color w:val="000000"/>
          <w:sz w:val="32"/>
          <w:szCs w:val="32"/>
        </w:rPr>
        <w:t xml:space="preserve"> 支出决算为1839.26万元，完成预算100%。</w:t>
      </w:r>
    </w:p>
    <w:p>
      <w:pPr>
        <w:spacing w:line="600" w:lineRule="exact"/>
        <w:ind w:left="643"/>
        <w:rPr>
          <w:rStyle w:val="16"/>
          <w:rFonts w:ascii="仿宋_GB2312" w:eastAsia="仿宋_GB2312"/>
          <w:b w:val="0"/>
          <w:bCs/>
          <w:color w:val="000000"/>
          <w:sz w:val="32"/>
          <w:szCs w:val="32"/>
        </w:rPr>
      </w:pPr>
      <w:r>
        <w:rPr>
          <w:rStyle w:val="16"/>
          <w:rFonts w:hint="eastAsia" w:ascii="仿宋" w:hAnsi="仿宋" w:eastAsia="仿宋"/>
          <w:b w:val="0"/>
          <w:bCs/>
          <w:color w:val="000000"/>
          <w:sz w:val="32"/>
          <w:szCs w:val="32"/>
        </w:rPr>
        <w:t>2.公共安全（204）检察（04）一般行政事务管理（02）:</w:t>
      </w:r>
      <w:r>
        <w:rPr>
          <w:rStyle w:val="16"/>
          <w:rFonts w:hint="eastAsia" w:ascii="仿宋_GB2312" w:eastAsia="仿宋_GB2312"/>
          <w:b w:val="0"/>
          <w:bCs/>
          <w:color w:val="000000"/>
          <w:sz w:val="32"/>
          <w:szCs w:val="32"/>
        </w:rPr>
        <w:t>支出决算为330.27万元，完成预算100%。</w:t>
      </w:r>
    </w:p>
    <w:p>
      <w:pPr>
        <w:spacing w:line="600" w:lineRule="exact"/>
        <w:ind w:firstLine="640" w:firstLineChars="200"/>
        <w:rPr>
          <w:rStyle w:val="16"/>
          <w:rFonts w:ascii="仿宋_GB2312" w:eastAsia="仿宋_GB2312"/>
          <w:b w:val="0"/>
          <w:bCs/>
          <w:color w:val="000000"/>
          <w:sz w:val="32"/>
          <w:szCs w:val="32"/>
        </w:rPr>
      </w:pPr>
      <w:r>
        <w:rPr>
          <w:rStyle w:val="16"/>
          <w:rFonts w:hint="eastAsia" w:ascii="仿宋" w:hAnsi="仿宋" w:eastAsia="仿宋"/>
          <w:b w:val="0"/>
          <w:bCs/>
          <w:color w:val="000000"/>
          <w:sz w:val="32"/>
          <w:szCs w:val="32"/>
        </w:rPr>
        <w:t>3. 社会保障和就业（208）行政事业单位离退休（05）  机关事业单位基本养老保险缴费支出（05）:</w:t>
      </w:r>
      <w:r>
        <w:rPr>
          <w:rStyle w:val="16"/>
          <w:rFonts w:hint="eastAsia" w:ascii="仿宋_GB2312" w:eastAsia="仿宋_GB2312"/>
          <w:b w:val="0"/>
          <w:bCs/>
          <w:color w:val="000000"/>
          <w:sz w:val="32"/>
          <w:szCs w:val="32"/>
        </w:rPr>
        <w:t xml:space="preserve"> 支出决算为103.93万元，完成预算100%。</w:t>
      </w:r>
    </w:p>
    <w:p>
      <w:pPr>
        <w:spacing w:line="600" w:lineRule="exact"/>
        <w:ind w:firstLine="640" w:firstLineChars="200"/>
        <w:rPr>
          <w:rStyle w:val="16"/>
          <w:rFonts w:ascii="仿宋_GB2312" w:eastAsia="仿宋_GB2312"/>
          <w:b w:val="0"/>
          <w:bCs/>
          <w:color w:val="000000"/>
          <w:sz w:val="32"/>
          <w:szCs w:val="32"/>
        </w:rPr>
      </w:pPr>
      <w:r>
        <w:rPr>
          <w:rStyle w:val="16"/>
          <w:rFonts w:hint="eastAsia" w:ascii="仿宋" w:hAnsi="仿宋" w:eastAsia="仿宋"/>
          <w:b w:val="0"/>
          <w:bCs/>
          <w:color w:val="000000"/>
          <w:sz w:val="32"/>
          <w:szCs w:val="32"/>
        </w:rPr>
        <w:t>4. 社会保障和就业（208）行政事业单位离退休（05）    机关事业单位职业年金缴费支出（06）</w:t>
      </w:r>
      <w:r>
        <w:rPr>
          <w:rStyle w:val="16"/>
          <w:rFonts w:hint="eastAsia" w:ascii="仿宋_GB2312" w:eastAsia="仿宋_GB2312"/>
          <w:b w:val="0"/>
          <w:bCs/>
          <w:color w:val="000000"/>
          <w:sz w:val="32"/>
          <w:szCs w:val="32"/>
        </w:rPr>
        <w:t>: 支出决算为51.99万元，完成预算100%。</w:t>
      </w:r>
    </w:p>
    <w:p>
      <w:pPr>
        <w:spacing w:line="600" w:lineRule="exact"/>
        <w:ind w:firstLine="640" w:firstLineChars="200"/>
        <w:rPr>
          <w:rStyle w:val="16"/>
          <w:rFonts w:ascii="仿宋_GB2312" w:eastAsia="仿宋_GB2312"/>
          <w:b w:val="0"/>
          <w:bCs/>
          <w:color w:val="000000"/>
          <w:sz w:val="32"/>
          <w:szCs w:val="32"/>
        </w:rPr>
      </w:pPr>
      <w:r>
        <w:rPr>
          <w:rStyle w:val="16"/>
          <w:rFonts w:hint="eastAsia" w:ascii="仿宋" w:hAnsi="仿宋" w:eastAsia="仿宋"/>
          <w:b w:val="0"/>
          <w:bCs/>
          <w:color w:val="000000"/>
          <w:sz w:val="32"/>
          <w:szCs w:val="32"/>
        </w:rPr>
        <w:t>5. 医疗卫生与计划生育（210）行政事业单位医疗（11）  行政单位医疗（01）:</w:t>
      </w:r>
      <w:r>
        <w:rPr>
          <w:rStyle w:val="16"/>
          <w:rFonts w:hint="eastAsia" w:ascii="仿宋_GB2312" w:eastAsia="仿宋_GB2312"/>
          <w:b w:val="0"/>
          <w:bCs/>
          <w:color w:val="000000"/>
          <w:sz w:val="32"/>
          <w:szCs w:val="32"/>
        </w:rPr>
        <w:t>支出决算为87.06万元，完成预算100%。</w:t>
      </w:r>
    </w:p>
    <w:p>
      <w:pPr>
        <w:spacing w:line="600" w:lineRule="exact"/>
        <w:ind w:left="643"/>
        <w:rPr>
          <w:rStyle w:val="16"/>
          <w:rFonts w:ascii="仿宋_GB2312" w:eastAsia="仿宋_GB2312"/>
          <w:b w:val="0"/>
          <w:bCs/>
          <w:color w:val="000000"/>
          <w:sz w:val="32"/>
          <w:szCs w:val="32"/>
        </w:rPr>
      </w:pPr>
      <w:r>
        <w:rPr>
          <w:rStyle w:val="16"/>
          <w:rFonts w:hint="eastAsia" w:ascii="仿宋" w:hAnsi="仿宋" w:eastAsia="仿宋"/>
          <w:b w:val="0"/>
          <w:bCs/>
          <w:color w:val="000000"/>
          <w:sz w:val="32"/>
          <w:szCs w:val="32"/>
        </w:rPr>
        <w:t>6.医疗卫生与计划生育（210）行政事业单位医疗（11）  公务员医疗补助（03）:</w:t>
      </w:r>
      <w:r>
        <w:rPr>
          <w:rStyle w:val="16"/>
          <w:rFonts w:hint="eastAsia" w:ascii="仿宋_GB2312" w:eastAsia="仿宋_GB2312"/>
          <w:b w:val="0"/>
          <w:bCs/>
          <w:color w:val="000000"/>
          <w:sz w:val="32"/>
          <w:szCs w:val="32"/>
        </w:rPr>
        <w:t>支出决算为7.61万元，完成预算100%。</w:t>
      </w:r>
    </w:p>
    <w:p>
      <w:pPr>
        <w:spacing w:line="600" w:lineRule="exact"/>
        <w:ind w:firstLine="640"/>
        <w:rPr>
          <w:rFonts w:ascii="仿宋" w:hAnsi="仿宋" w:eastAsia="仿宋"/>
          <w:bCs/>
          <w:color w:val="000000"/>
          <w:sz w:val="32"/>
          <w:szCs w:val="32"/>
        </w:rPr>
      </w:pPr>
      <w:r>
        <w:rPr>
          <w:rStyle w:val="16"/>
          <w:rFonts w:hint="eastAsia" w:ascii="仿宋" w:hAnsi="仿宋" w:eastAsia="仿宋"/>
          <w:b w:val="0"/>
          <w:bCs/>
          <w:color w:val="000000"/>
          <w:sz w:val="32"/>
          <w:szCs w:val="32"/>
        </w:rPr>
        <w:t>7.住房保障支出（221）住房改革支出（02）住房公积金（01）:</w:t>
      </w:r>
      <w:r>
        <w:rPr>
          <w:rStyle w:val="16"/>
          <w:rFonts w:hint="eastAsia" w:ascii="仿宋_GB2312" w:eastAsia="仿宋_GB2312"/>
          <w:b w:val="0"/>
          <w:bCs/>
          <w:color w:val="000000"/>
          <w:sz w:val="32"/>
          <w:szCs w:val="32"/>
        </w:rPr>
        <w:t xml:space="preserve">支出决算为139.54万元，完成预算100%。  </w:t>
      </w:r>
    </w:p>
    <w:p>
      <w:pPr>
        <w:tabs>
          <w:tab w:val="right" w:pos="8306"/>
        </w:tabs>
        <w:spacing w:line="600" w:lineRule="exact"/>
        <w:ind w:firstLine="640" w:firstLineChars="200"/>
        <w:outlineLvl w:val="1"/>
        <w:rPr>
          <w:rStyle w:val="27"/>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40"/>
      <w:bookmarkEnd w:id="41"/>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2559.67万元，其中：人员经费1342.83万元，主要包括：基本工资302.1万元、津贴补贴396.24万元、奖金510.66万元、伙食补助费29.39万元、机关事业单位基本养老保险缴费103.93万元、职业年金缴费51.99万元、职工基本医疗保险缴费87.06万元，公务员医疗补助缴费7.61万元，其他社会保障缴费2.89万元、其他工资福利支出26.86万元、离休费29万元、抚恤金25.24万元、生活补助58.43万元、医疗费补助10.06万元、救济费60000万元、住房公积金134.95万元、住房补贴4.6万元等。</w:t>
      </w:r>
      <w:r>
        <w:rPr>
          <w:rFonts w:ascii="仿宋" w:hAnsi="仿宋" w:eastAsia="仿宋"/>
          <w:color w:val="000000"/>
          <w:sz w:val="32"/>
          <w:szCs w:val="32"/>
        </w:rPr>
        <w:br w:type="textWrapping"/>
      </w:r>
      <w:r>
        <w:rPr>
          <w:rFonts w:hint="eastAsia" w:ascii="仿宋" w:hAnsi="仿宋" w:eastAsia="仿宋"/>
          <w:color w:val="000000"/>
          <w:sz w:val="32"/>
          <w:szCs w:val="32"/>
        </w:rPr>
        <w:t>　　公用经费512.97万元，主要包括：办公费87.46万元、手续费1.773万元、印刷费16.05万元、水费4.91万元、电费52.05万元、邮电费23.51万元、物业管理费48.31万元、差旅费115.12万元、维修（护）费109.03万元、租赁费3.72万元、会议费46.73万元、培训费18.21万元、公务接待费1.158万元、劳务费7万元、公务用车运行维护费94.17万元、其他商品和服务支出6.2万元。</w:t>
      </w:r>
    </w:p>
    <w:p>
      <w:pPr>
        <w:spacing w:line="600" w:lineRule="exact"/>
        <w:ind w:firstLine="640"/>
        <w:outlineLvl w:val="1"/>
        <w:rPr>
          <w:rFonts w:ascii="黑体" w:hAnsi="黑体" w:eastAsia="黑体" w:cstheme="majorBidi"/>
          <w:bCs/>
          <w:sz w:val="32"/>
          <w:szCs w:val="32"/>
        </w:rPr>
      </w:pPr>
      <w:bookmarkStart w:id="42" w:name="_Toc15377215"/>
      <w:bookmarkStart w:id="43" w:name="_Toc15396609"/>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42"/>
      <w:bookmarkEnd w:id="43"/>
      <w:bookmarkStart w:id="44" w:name="_Toc15377216"/>
    </w:p>
    <w:p>
      <w:pPr>
        <w:spacing w:line="600" w:lineRule="exact"/>
        <w:ind w:firstLine="640"/>
        <w:outlineLvl w:val="2"/>
        <w:rPr>
          <w:rFonts w:ascii="仿宋" w:hAnsi="仿宋" w:eastAsia="仿宋"/>
          <w:b/>
          <w:color w:val="000000"/>
          <w:sz w:val="32"/>
          <w:szCs w:val="32"/>
        </w:rPr>
      </w:pPr>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2020年“三公”经费财政拨款支出决算为95.328万元，完成预算100</w:t>
      </w:r>
      <w:r>
        <w:rPr>
          <w:rFonts w:ascii="仿宋" w:hAnsi="仿宋" w:eastAsia="仿宋"/>
          <w:color w:val="000000"/>
          <w:sz w:val="32"/>
          <w:szCs w:val="32"/>
        </w:rPr>
        <w:t>%</w:t>
      </w:r>
      <w:r>
        <w:rPr>
          <w:rFonts w:hint="eastAsia" w:ascii="仿宋" w:hAnsi="仿宋" w:eastAsia="仿宋"/>
          <w:color w:val="000000"/>
          <w:sz w:val="32"/>
          <w:szCs w:val="32"/>
        </w:rPr>
        <w:t>，与预算数持平。</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2020年“三公”经费财政拨款支出决算中，因公出国（境）费支出决算0万元，占0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；公务用车购置及运行维护费支出决算94.17万元，占98.2</w:t>
      </w:r>
      <w:r>
        <w:rPr>
          <w:rFonts w:ascii="仿宋" w:hAnsi="仿宋" w:eastAsia="仿宋"/>
          <w:color w:val="000000"/>
          <w:sz w:val="32"/>
          <w:szCs w:val="32"/>
        </w:rPr>
        <w:t>%</w:t>
      </w:r>
      <w:r>
        <w:rPr>
          <w:rFonts w:hint="eastAsia" w:ascii="仿宋" w:hAnsi="仿宋" w:eastAsia="仿宋"/>
          <w:color w:val="000000"/>
          <w:sz w:val="32"/>
          <w:szCs w:val="32"/>
        </w:rPr>
        <w:t>；公务接待费支出决算1.158万元，占1.8</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2336" behindDoc="0" locked="0" layoutInCell="1" allowOverlap="1">
            <wp:simplePos x="0" y="0"/>
            <wp:positionH relativeFrom="column">
              <wp:posOffset>415290</wp:posOffset>
            </wp:positionH>
            <wp:positionV relativeFrom="paragraph">
              <wp:posOffset>266700</wp:posOffset>
            </wp:positionV>
            <wp:extent cx="4385310" cy="2087880"/>
            <wp:effectExtent l="19050" t="0" r="15240" b="7620"/>
            <wp:wrapTopAndBottom/>
            <wp:docPr id="3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eastAsia" w:ascii="仿宋" w:hAnsi="仿宋" w:eastAsia="仿宋"/>
          <w:color w:val="000000"/>
          <w:sz w:val="32"/>
          <w:szCs w:val="32"/>
        </w:rPr>
        <w:t>（图8：“三公”经费财政拨款支出结构）（饼状图）</w:t>
      </w:r>
    </w:p>
    <w:p>
      <w:pPr>
        <w:numPr>
          <w:ilvl w:val="0"/>
          <w:numId w:val="5"/>
        </w:num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6"/>
          <w:rFonts w:hint="eastAsia" w:ascii="仿宋" w:hAnsi="仿宋" w:eastAsia="仿宋"/>
          <w:bCs/>
          <w:color w:val="000000"/>
          <w:sz w:val="32"/>
          <w:szCs w:val="32"/>
        </w:rPr>
        <w:t>完成预算100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w:t>
      </w:r>
      <w:r>
        <w:rPr>
          <w:rFonts w:hint="eastAsia" w:ascii="仿宋_GB2312" w:eastAsia="仿宋_GB2312"/>
          <w:color w:val="000000"/>
          <w:sz w:val="32"/>
          <w:szCs w:val="32"/>
        </w:rPr>
        <w:t>全年安排因公出国（境）团组0次，出国（境）0人。</w:t>
      </w:r>
    </w:p>
    <w:p>
      <w:pPr>
        <w:spacing w:line="600" w:lineRule="exact"/>
        <w:ind w:firstLine="643"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94.17万元,</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8年减少23.13万元，减少57.3</w:t>
      </w:r>
      <w:r>
        <w:rPr>
          <w:rFonts w:ascii="仿宋_GB2312" w:eastAsia="仿宋_GB2312"/>
          <w:color w:val="000000"/>
          <w:sz w:val="32"/>
          <w:szCs w:val="32"/>
        </w:rPr>
        <w:t>%</w:t>
      </w:r>
      <w:r>
        <w:rPr>
          <w:rFonts w:hint="eastAsia" w:ascii="仿宋_GB2312" w:eastAsia="仿宋_GB2312"/>
          <w:color w:val="000000"/>
          <w:sz w:val="32"/>
          <w:szCs w:val="32"/>
        </w:rPr>
        <w:t>。主要原因是2020年购置1车辆特种专业技术用车。</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月底，单位共有公务用车2辆，其中：越野车1辆、载客汽车1辆。截至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月底，单位共有执法执勤用车24辆，其中轿车9辆、越野车14辆、载客汽车1辆。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94.17万元。主要用于</w:t>
      </w:r>
      <w:r>
        <w:rPr>
          <w:rFonts w:ascii="仿宋_GB2312" w:eastAsia="仿宋_GB2312"/>
          <w:color w:val="000000"/>
          <w:sz w:val="32"/>
          <w:szCs w:val="32"/>
        </w:rPr>
        <w:t>执法办案</w:t>
      </w:r>
      <w:r>
        <w:rPr>
          <w:rFonts w:hint="eastAsia" w:ascii="仿宋_GB2312" w:eastAsia="仿宋_GB2312"/>
          <w:color w:val="000000"/>
          <w:sz w:val="32"/>
          <w:szCs w:val="32"/>
        </w:rPr>
        <w:t>、检务督察、两联一进联系乡等所需的公务用车燃料费、维修费、过路过桥费、保险费等支出。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1.158万元，</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9年减少1.002万元，减少52.31</w:t>
      </w:r>
      <w:r>
        <w:rPr>
          <w:rFonts w:ascii="仿宋_GB2312" w:eastAsia="仿宋_GB2312"/>
          <w:color w:val="000000"/>
          <w:sz w:val="32"/>
          <w:szCs w:val="32"/>
        </w:rPr>
        <w:t>%</w:t>
      </w:r>
      <w:r>
        <w:rPr>
          <w:rFonts w:hint="eastAsia" w:ascii="仿宋_GB2312" w:eastAsia="仿宋_GB2312"/>
          <w:color w:val="000000"/>
          <w:sz w:val="32"/>
          <w:szCs w:val="32"/>
        </w:rPr>
        <w:t>。主要原因是1.因疫情影响检察业务交流减少；2援藏工作交流减少。</w:t>
      </w:r>
    </w:p>
    <w:p>
      <w:pPr>
        <w:spacing w:line="640" w:lineRule="exact"/>
        <w:ind w:firstLine="64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8批次，106人次（不包括陪同人员），共计支出0.6万元，具体内容包括：内江市对口帮扶工作、德阳内江市对口帮扶工作、绵阳对口帮扶工作、眉山市对口帮扶工作、 省检察院装备科针对司法改革人财物统管进行调研、省检察院检务督察报告、省院控申处办案，省检察院公诉处办案等项目、共计支出接待费0.558万元。其中：无外事接待。</w:t>
      </w:r>
    </w:p>
    <w:p>
      <w:pPr>
        <w:spacing w:line="600" w:lineRule="exact"/>
        <w:ind w:firstLine="964" w:firstLineChars="300"/>
        <w:rPr>
          <w:rFonts w:ascii="仿宋_GB2312" w:eastAsia="仿宋_GB2312"/>
          <w:color w:val="000000" w:themeColor="text1"/>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，外事接待0批次，0人，共计支出0万元。</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ascii="仿宋_GB2312" w:eastAsia="仿宋_GB2312"/>
          <w:color w:val="000000"/>
          <w:sz w:val="32"/>
          <w:szCs w:val="32"/>
        </w:rPr>
        <w:t xml:space="preserve"> </w:t>
      </w:r>
      <w:bookmarkStart w:id="46" w:name="_Toc15377218"/>
      <w:bookmarkStart w:id="47" w:name="_Toc15396610"/>
    </w:p>
    <w:p>
      <w:pPr>
        <w:spacing w:line="600" w:lineRule="exact"/>
        <w:ind w:firstLine="640"/>
        <w:outlineLvl w:val="1"/>
        <w:rPr>
          <w:rStyle w:val="27"/>
          <w:rFonts w:ascii="黑体" w:hAnsi="黑体" w:eastAsia="黑体"/>
        </w:rPr>
      </w:pPr>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20年政府性基金预算拨款支出0万元。</w:t>
      </w:r>
    </w:p>
    <w:p>
      <w:pPr>
        <w:numPr>
          <w:ilvl w:val="0"/>
          <w:numId w:val="6"/>
        </w:numPr>
        <w:spacing w:line="600" w:lineRule="exact"/>
        <w:ind w:firstLine="640"/>
        <w:outlineLvl w:val="1"/>
        <w:rPr>
          <w:rStyle w:val="27"/>
          <w:rFonts w:ascii="黑体" w:hAnsi="黑体" w:eastAsia="黑体"/>
          <w:b w:val="0"/>
        </w:rPr>
      </w:pPr>
      <w:bookmarkStart w:id="48" w:name="_Toc15396611"/>
      <w:bookmarkStart w:id="49" w:name="_Toc15377219"/>
      <w:r>
        <w:rPr>
          <w:rStyle w:val="27"/>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20年国有资本经营预算拨款支出0万元。</w:t>
      </w:r>
    </w:p>
    <w:p>
      <w:pPr>
        <w:pStyle w:val="25"/>
        <w:numPr>
          <w:ilvl w:val="0"/>
          <w:numId w:val="7"/>
        </w:numPr>
        <w:spacing w:line="580" w:lineRule="exact"/>
        <w:ind w:firstLineChars="0"/>
        <w:rPr>
          <w:rStyle w:val="27"/>
          <w:rFonts w:ascii="黑体" w:hAnsi="黑体" w:eastAsia="黑体"/>
          <w:b w:val="0"/>
        </w:rPr>
      </w:pPr>
      <w:r>
        <w:rPr>
          <w:rStyle w:val="27"/>
          <w:rFonts w:hint="eastAsia" w:ascii="黑体" w:hAnsi="黑体" w:eastAsia="黑体"/>
          <w:b w:val="0"/>
        </w:rPr>
        <w:t>预算绩效情况说明</w:t>
      </w:r>
    </w:p>
    <w:p>
      <w:pPr>
        <w:numPr>
          <w:ilvl w:val="0"/>
          <w:numId w:val="8"/>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bookmarkStart w:id="50" w:name="_Toc15396613"/>
      <w:bookmarkStart w:id="51" w:name="_Toc15377225"/>
      <w:r>
        <w:rPr>
          <w:rFonts w:hint="eastAsia" w:ascii="仿宋_GB2312" w:hAnsi="仿宋_GB2312" w:eastAsia="仿宋_GB2312" w:cs="仿宋_GB2312"/>
          <w:sz w:val="32"/>
          <w:szCs w:val="32"/>
        </w:rPr>
        <w:t>根据预算绩效管理要求，本部门（单位）在年初预算编制阶段，组织对《阿坝检察》印刷费、检察信息化建设软硬件设备维护更新开展了预算事前绩效评估，对10个项目编制了绩效目标，预算执行过程中，选取5个项目开展绩效监控，年终执行完毕后，对1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本部门按要求对2020年部门整体支出开展绩效自评，从评价情况来看项目基本达到年初绩效目标。本部门还自行组织了10个项目绩效评价，从评价情况来看项目基本到达单位自行制定的绩效目标。</w:t>
      </w:r>
    </w:p>
    <w:p>
      <w:pPr>
        <w:numPr>
          <w:ilvl w:val="0"/>
          <w:numId w:val="8"/>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本部门在2020年度部门决算中反映“《阿坝检察》印刷费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检察信息化建设软硬件设备维护更新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 全州检察机关涉密信息系统安全保密运维服务费”“人民监督员”“业务经费”等5个项目绩效目标实际完成情况。（本单位部门项目绩效目标个数在5个以上的，选取5个项目进行公开，目标个数在5个以下的，全部进行公开，公开内容包括完成情况综述和完成情况表）。</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阿坝检察》印刷项目绩效目标完成情况综述。项目全年预算数2万元，执行数为2万元，完成预算的100%。通过项目实施，《阿坝检察》共出版刊物2期，全州检察机关踊跃投稿，出版刊物共计100余篇。实主要问题：资金支付进度较慢。下一步改进措施：加快资金支付力度。</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检察信息化建设软硬件设备维护更新项目绩效目标完成情况综述。项目全年预算数15万元，执行数为7.42万元，完成预算的49.47%。通过项目实施，保障了州检察院各类应用系统设备维护，确保全州检察内网网上办公、办案等系统的正常运行。实主要问题：资金支付进度较慢。下一步改进措施：加快资金支付力度。</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3.人民监督员工作项目绩效目标完成情况综述。项目全年预算数5万元，执行数为5万元，完成预算的100%。通过项目实施，</w:t>
      </w:r>
      <w:r>
        <w:rPr>
          <w:rFonts w:hint="eastAsia" w:ascii="仿宋_GB2312" w:hAnsi="仿宋_GB2312" w:eastAsia="仿宋_GB2312" w:cs="仿宋_GB2312"/>
          <w:color w:val="000000"/>
          <w:sz w:val="32"/>
          <w:szCs w:val="32"/>
        </w:rPr>
        <w:t>扎实</w:t>
      </w:r>
      <w:r>
        <w:rPr>
          <w:rFonts w:hint="eastAsia" w:ascii="仿宋_GB2312" w:hAnsi="仿宋_GB2312" w:eastAsia="仿宋_GB2312" w:cs="仿宋_GB2312"/>
          <w:sz w:val="32"/>
          <w:szCs w:val="32"/>
        </w:rPr>
        <w:t>推进人民监督员制度建设</w:t>
      </w:r>
      <w:r>
        <w:rPr>
          <w:rFonts w:hint="eastAsia" w:ascii="仿宋_GB2312" w:hAnsi="仿宋_GB2312" w:eastAsia="仿宋_GB2312" w:cs="仿宋_GB2312"/>
          <w:color w:val="000000"/>
          <w:sz w:val="32"/>
          <w:szCs w:val="32"/>
        </w:rPr>
        <w:t>，在2020年我院召开人民监督员和特约检察员工作会议2次，完成全年目标任务数的100%，</w:t>
      </w:r>
    </w:p>
    <w:p>
      <w:pPr>
        <w:pStyle w:val="13"/>
        <w:widowControl/>
        <w:spacing w:line="640" w:lineRule="exact"/>
        <w:ind w:firstLine="627" w:firstLineChars="196"/>
        <w:rPr>
          <w:rFonts w:ascii="仿宋_GB2312" w:hAnsi="宋体" w:eastAsia="仿宋_GB2312" w:cs="宋体"/>
          <w:color w:val="2A2A2A"/>
          <w:sz w:val="32"/>
          <w:szCs w:val="32"/>
        </w:rPr>
      </w:pPr>
      <w:r>
        <w:rPr>
          <w:rFonts w:hint="eastAsia" w:ascii="仿宋_GB2312" w:hAnsi="仿宋_GB2312" w:eastAsia="仿宋_GB2312" w:cs="仿宋_GB2312"/>
          <w:sz w:val="32"/>
          <w:szCs w:val="32"/>
        </w:rPr>
        <w:t>4.“ 办公、办案网络信息网络费”项目绩效目标完成情况综述。项目全年预算数11.4万元，执行数为11.4万元，完成预算的100%。通过项目实施使</w:t>
      </w:r>
      <w:r>
        <w:rPr>
          <w:rFonts w:hint="eastAsia" w:ascii="仿宋_GB2312" w:hAnsi="宋体" w:eastAsia="仿宋_GB2312" w:cs="宋体"/>
          <w:color w:val="2A2A2A"/>
          <w:sz w:val="32"/>
          <w:szCs w:val="32"/>
        </w:rPr>
        <w:t>我院</w:t>
      </w:r>
      <w:r>
        <w:rPr>
          <w:rFonts w:hint="eastAsia" w:ascii="仿宋_GB2312" w:hAnsi="仿宋_GB2312" w:eastAsia="仿宋_GB2312" w:cs="仿宋_GB2312"/>
          <w:sz w:val="32"/>
          <w:szCs w:val="32"/>
        </w:rPr>
        <w:t>办公、办案</w:t>
      </w:r>
      <w:r>
        <w:rPr>
          <w:rFonts w:hint="eastAsia" w:ascii="仿宋_GB2312" w:hAnsi="宋体" w:eastAsia="仿宋_GB2312" w:cs="宋体"/>
          <w:color w:val="2A2A2A"/>
          <w:sz w:val="32"/>
          <w:szCs w:val="32"/>
        </w:rPr>
        <w:t>工作进一步加强，保障我院办案水平进一步提高。完成了2020年度绩效任务。</w:t>
      </w:r>
    </w:p>
    <w:p>
      <w:pPr>
        <w:pStyle w:val="13"/>
        <w:widowControl/>
        <w:spacing w:line="640" w:lineRule="exact"/>
        <w:ind w:firstLine="627" w:firstLineChars="196"/>
        <w:rPr>
          <w:rFonts w:ascii="仿宋_GB2312" w:hAnsi="宋体" w:eastAsia="仿宋_GB2312" w:cs="宋体"/>
          <w:color w:val="2A2A2A"/>
          <w:sz w:val="32"/>
          <w:szCs w:val="32"/>
        </w:rPr>
      </w:pPr>
      <w:r>
        <w:rPr>
          <w:rFonts w:hint="eastAsia" w:ascii="仿宋_GB2312" w:hAnsi="宋体" w:eastAsia="仿宋_GB2312" w:cs="宋体"/>
          <w:color w:val="2A2A2A"/>
          <w:sz w:val="32"/>
          <w:szCs w:val="32"/>
        </w:rPr>
        <w:t>5.</w:t>
      </w:r>
      <w:r>
        <w:rPr>
          <w:rFonts w:hint="eastAsia" w:hAnsi="ˎ̥" w:cs="宋体"/>
          <w:szCs w:val="30"/>
        </w:rPr>
        <w:t xml:space="preserve"> </w:t>
      </w:r>
      <w:r>
        <w:rPr>
          <w:rFonts w:hint="eastAsia" w:ascii="仿宋_GB2312" w:hAnsi="宋体" w:eastAsia="仿宋_GB2312" w:cs="宋体"/>
          <w:color w:val="2A2A2A"/>
          <w:sz w:val="32"/>
          <w:szCs w:val="32"/>
        </w:rPr>
        <w:t>全州检察机关涉密信息系统安全保密运维服务费</w:t>
      </w:r>
      <w:r>
        <w:rPr>
          <w:rFonts w:hint="eastAsia" w:ascii="仿宋_GB2312" w:hAnsi="仿宋_GB2312" w:eastAsia="仿宋_GB2312" w:cs="仿宋_GB2312"/>
          <w:sz w:val="32"/>
          <w:szCs w:val="32"/>
        </w:rPr>
        <w:t>项目绩效目标完成情况综述。项目全年预算数63万元，执行数为63万元，完成预算的100%。通过项目实施，保障了2020年全州检察机关涉密信息系统安全保密运维服务。</w:t>
      </w:r>
      <w:r>
        <w:rPr>
          <w:rFonts w:hint="eastAsia" w:ascii="仿宋_GB2312" w:hAnsi="宋体" w:eastAsia="仿宋_GB2312" w:cs="宋体"/>
          <w:color w:val="2A2A2A"/>
          <w:sz w:val="32"/>
          <w:szCs w:val="32"/>
        </w:rPr>
        <w:t>完成了2020年度绩效任务。</w:t>
      </w:r>
    </w:p>
    <w:p>
      <w:pPr>
        <w:tabs>
          <w:tab w:val="left" w:pos="312"/>
        </w:tabs>
        <w:spacing w:line="580" w:lineRule="exact"/>
        <w:ind w:firstLine="420" w:firstLineChars="200"/>
        <w:rPr>
          <w:rFonts w:hint="eastAsia" w:hAnsi="ˎ̥" w:cs="宋体"/>
          <w:szCs w:val="30"/>
        </w:rPr>
      </w:pPr>
    </w:p>
    <w:p>
      <w:pPr>
        <w:tabs>
          <w:tab w:val="left" w:pos="312"/>
        </w:tabs>
        <w:spacing w:line="580" w:lineRule="exact"/>
        <w:ind w:firstLine="420" w:firstLineChars="200"/>
        <w:rPr>
          <w:rFonts w:hint="eastAsia" w:hAnsi="ˎ̥" w:cs="宋体"/>
          <w:szCs w:val="30"/>
        </w:rPr>
      </w:pPr>
    </w:p>
    <w:p>
      <w:pPr>
        <w:tabs>
          <w:tab w:val="left" w:pos="312"/>
        </w:tabs>
        <w:spacing w:line="580" w:lineRule="exact"/>
        <w:ind w:firstLine="420" w:firstLineChars="200"/>
        <w:rPr>
          <w:rFonts w:hint="eastAsia" w:hAnsi="ˎ̥" w:cs="宋体"/>
          <w:szCs w:val="30"/>
        </w:rPr>
      </w:pP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32"/>
              <w:widowControl/>
              <w:ind w:left="3580" w:leftChars="1310" w:hanging="829" w:hangingChars="395"/>
              <w:textAlignment w:val="center"/>
              <w:rPr>
                <w:rFonts w:ascii="宋体" w:hAnsi="宋体" w:cs="宋体"/>
                <w:color w:val="000000"/>
                <w:szCs w:val="21"/>
              </w:rPr>
            </w:pPr>
            <w:r>
              <w:rPr>
                <w:rFonts w:hint="eastAsia" w:ascii="黑体" w:hAnsi="黑体" w:eastAsia="黑体" w:cs="宋体"/>
                <w:bCs/>
                <w:color w:val="000000"/>
                <w:kern w:val="0"/>
                <w:szCs w:val="21"/>
              </w:rPr>
              <w:t>项目支出绩效目标完成情况表</w:t>
            </w:r>
            <w:r>
              <w:rPr>
                <w:rFonts w:hint="eastAsia" w:ascii="宋体" w:hAnsi="宋体" w:cs="宋体"/>
                <w:b/>
                <w:bCs/>
                <w:color w:val="000000"/>
                <w:kern w:val="0"/>
                <w:szCs w:val="21"/>
              </w:rPr>
              <w:br w:type="textWrapping"/>
            </w:r>
            <w:r>
              <w:rPr>
                <w:rFonts w:hint="eastAsia" w:ascii="宋体" w:hAnsi="宋体" w:cs="宋体"/>
                <w:color w:val="000000"/>
                <w:kern w:val="0"/>
                <w:szCs w:val="21"/>
              </w:rPr>
              <w:t>(2020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人民监督员经费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阿坝州检察院</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5万元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Cs w:val="21"/>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Cs w:val="21"/>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Cs w:val="21"/>
              </w:rPr>
            </w:pPr>
            <w:r>
              <w:rPr>
                <w:rFonts w:hint="eastAsia" w:ascii="宋体" w:hAnsi="宋体" w:cs="宋体"/>
                <w:color w:val="000000"/>
                <w:szCs w:val="21"/>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Cs w:val="21"/>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推进司法体制改革，以健全确保依法独立公正行使检察权的监督制约机制为目标，改革人民监督员选任和管理方式，扩大人民监督员监督范围，完善人民监督员监督程序，进一步拓宽人民群众有序参与司法的渠道。指导各县（市）加强检察院人民监督员制度建设，全面提升检察院整体工作效能，全面发挥藏区人民监督员、特约检察院在依法治藏和各类案件中的作用。</w:t>
            </w:r>
          </w:p>
          <w:p>
            <w:pPr>
              <w:widowControl/>
              <w:jc w:val="left"/>
              <w:textAlignment w:val="center"/>
              <w:rPr>
                <w:rFonts w:ascii="宋体" w:hAnsi="宋体" w:cs="宋体"/>
                <w:color w:val="000000"/>
                <w:szCs w:val="21"/>
              </w:rPr>
            </w:pPr>
            <w:r>
              <w:rPr>
                <w:rFonts w:hint="eastAsia" w:ascii="宋体" w:hAnsi="宋体" w:cs="宋体"/>
                <w:color w:val="000000"/>
                <w:szCs w:val="21"/>
              </w:rPr>
              <w:t>深入推进人民监督员工作，规范人民监督员工作流程，确保发挥人民监督员在司法办案中的监督作用。</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2020年人民监督员在监督工作中履行下列职责：对人民检察院办理直接受理立案侦查案件的情形实施了监督。人民监督员应邀参加了人民检察院组织的执法检查活动2次，并提出了宝贵意见和建议。人民监督员可以对检察机关的其他检察工作、检察队伍建设也出意见、建议。</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Cs w:val="21"/>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指导全州检察机关开展人民监督员工作和州本级检察机关开展人民监督员工作。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加强对全州13个县人民调监督员和州检察院本级人民监督员的工作开展。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20" w:firstLineChars="200"/>
              <w:jc w:val="left"/>
              <w:textAlignment w:val="center"/>
              <w:rPr>
                <w:rFonts w:ascii="宋体" w:hAnsi="宋体" w:cs="宋体"/>
                <w:color w:val="000000"/>
                <w:szCs w:val="21"/>
              </w:rPr>
            </w:pPr>
            <w:r>
              <w:rPr>
                <w:rFonts w:hint="eastAsia" w:ascii="宋体" w:hAnsi="宋体" w:cs="宋体"/>
                <w:color w:val="000000"/>
                <w:szCs w:val="21"/>
              </w:rPr>
              <w:t>对阿坝州人民检察院办理直接受理立案侦查案件的实施了监督;人民监督员应邀参加阿坝州人民检察院组织的有关执法检查和检察开放日等活动，并提出意见和建议。人民监督员对检察机关的其他检察工作、检察队伍建设等提出意见、建议。</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Cs w:val="21"/>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提高人民监督员。司法所面积、人员、业务工作、外观和室内规范达到省级标准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2018年阿坝州人民检察院人民监督员工作得以顺利开展。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对人民检察院办理直接受理立案侦查案件的实施了监督;人民监督员应邀参加人民检察院组织的有关执法检查和检察开放日等活动，并提出意见和建议。人民监督员对检察机关的其他检察工作、检察队伍建设等提出意见、建议</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Cs w:val="21"/>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人民监督员办公费出3万元、人民监督员材料、图片印刷费支出2万元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实际支出5万元</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Cs w:val="21"/>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政府和群众满意度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满意率90%以上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满意率90%以上</w:t>
            </w:r>
          </w:p>
        </w:tc>
      </w:tr>
    </w:tbl>
    <w:p>
      <w:pPr>
        <w:rPr>
          <w:rFonts w:ascii="Calibri" w:hAnsi="Calibri"/>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numPr>
          <w:ilvl w:val="0"/>
          <w:numId w:val="8"/>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本部门按要求对2020年部门整体支出绩效评价情况开展自评，《阿坝州人民检察院2020年部门整体支出绩效评价报告》见附件。</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本部门自行组织对人民监督员项目，《阿坝州人民检察院人民监督员项目2020年绩效评价报告》见附件。</w:t>
      </w:r>
    </w:p>
    <w:p>
      <w:pPr>
        <w:spacing w:line="600" w:lineRule="exact"/>
        <w:ind w:firstLine="800" w:firstLineChars="250"/>
        <w:outlineLvl w:val="1"/>
        <w:rPr>
          <w:rStyle w:val="27"/>
          <w:rFonts w:ascii="黑体" w:hAnsi="黑体" w:eastAsia="黑体"/>
        </w:rPr>
      </w:pPr>
      <w:bookmarkStart w:id="52" w:name="_Toc15396612"/>
      <w:bookmarkStart w:id="53" w:name="_Toc15377221"/>
      <w:r>
        <w:rPr>
          <w:rFonts w:hint="eastAsia" w:ascii="黑体" w:hAnsi="黑体" w:eastAsia="黑体"/>
          <w:color w:val="000000"/>
          <w:sz w:val="32"/>
          <w:szCs w:val="32"/>
        </w:rPr>
        <w:t>十</w:t>
      </w:r>
      <w:r>
        <w:rPr>
          <w:rStyle w:val="27"/>
          <w:rFonts w:hint="eastAsia" w:ascii="黑体" w:hAnsi="黑体" w:eastAsia="黑体"/>
        </w:rPr>
        <w:t>一、其他重要事项的情况说明</w:t>
      </w:r>
      <w:bookmarkEnd w:id="52"/>
      <w:bookmarkEnd w:id="53"/>
    </w:p>
    <w:p>
      <w:pPr>
        <w:spacing w:line="600" w:lineRule="exact"/>
        <w:ind w:firstLine="643" w:firstLineChars="200"/>
        <w:outlineLvl w:val="2"/>
        <w:rPr>
          <w:rFonts w:ascii="仿宋" w:hAnsi="仿宋" w:eastAsia="仿宋"/>
          <w:color w:val="000000"/>
          <w:sz w:val="32"/>
          <w:szCs w:val="32"/>
        </w:rPr>
      </w:pPr>
      <w:bookmarkStart w:id="54" w:name="_Toc15377222"/>
      <w:r>
        <w:rPr>
          <w:rFonts w:hint="eastAsia" w:ascii="仿宋" w:hAnsi="仿宋" w:eastAsia="仿宋"/>
          <w:b/>
          <w:color w:val="000000"/>
          <w:sz w:val="32"/>
          <w:szCs w:val="32"/>
        </w:rPr>
        <w:t>（一）机关运行经费支出情况</w:t>
      </w:r>
      <w:bookmarkEnd w:id="54"/>
    </w:p>
    <w:p>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w:t>
      </w:r>
      <w:r>
        <w:rPr>
          <w:rFonts w:hint="eastAsia" w:ascii="仿宋_GB2312" w:eastAsia="仿宋_GB2312"/>
          <w:color w:val="000000"/>
          <w:sz w:val="32"/>
          <w:szCs w:val="32"/>
        </w:rPr>
        <w:t>020年，阿坝州人民检察院机关运行经费支出443.26万元，比</w:t>
      </w:r>
      <w:r>
        <w:rPr>
          <w:rFonts w:ascii="仿宋_GB2312" w:eastAsia="仿宋_GB2312"/>
          <w:color w:val="000000"/>
          <w:sz w:val="32"/>
          <w:szCs w:val="32"/>
        </w:rPr>
        <w:t>201</w:t>
      </w:r>
      <w:r>
        <w:rPr>
          <w:rFonts w:hint="eastAsia" w:ascii="仿宋_GB2312" w:eastAsia="仿宋_GB2312"/>
          <w:color w:val="000000"/>
          <w:sz w:val="32"/>
          <w:szCs w:val="32"/>
        </w:rPr>
        <w:t>9年减少70.54万元，减少13.73</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主要原因是1.人员经费减少2.厉行节约。</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5" w:name="_Toc15377223"/>
      <w:r>
        <w:rPr>
          <w:rFonts w:hint="eastAsia" w:ascii="仿宋" w:hAnsi="仿宋" w:eastAsia="仿宋"/>
          <w:b/>
          <w:color w:val="000000"/>
          <w:sz w:val="32"/>
          <w:szCs w:val="32"/>
        </w:rPr>
        <w:t>（二）政府采购支出情况</w:t>
      </w:r>
      <w:bookmarkEnd w:id="55"/>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9年，阿坝州人民检察院政府采购支出总额359.08万元，其中：政府采购货物支出357.08万元，政府采购货物支出2万元主要用于检查工作基础网络建设、</w:t>
      </w:r>
      <w:r>
        <w:rPr>
          <w:rFonts w:hint="eastAsia" w:ascii="仿宋_GB2312" w:hAnsi="仿宋_GB2312" w:eastAsia="仿宋_GB2312" w:cs="仿宋_GB2312"/>
          <w:sz w:val="32"/>
          <w:szCs w:val="32"/>
        </w:rPr>
        <w:t>派驻检察室信息化建设项目</w:t>
      </w:r>
      <w:r>
        <w:rPr>
          <w:rFonts w:hint="eastAsia" w:ascii="仿宋_GB2312" w:eastAsia="仿宋_GB2312"/>
          <w:color w:val="000000"/>
          <w:sz w:val="32"/>
          <w:szCs w:val="32"/>
        </w:rPr>
        <w:t>等项目支出。授予中小企业合同金额359.08万元，占政府采购支出总额的100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6" w:name="_Toc15377224"/>
      <w:r>
        <w:rPr>
          <w:rFonts w:hint="eastAsia" w:ascii="仿宋" w:hAnsi="仿宋" w:eastAsia="仿宋"/>
          <w:b/>
          <w:color w:val="000000"/>
          <w:sz w:val="32"/>
          <w:szCs w:val="32"/>
        </w:rPr>
        <w:t>（三）国有资产占有使用情况</w:t>
      </w:r>
      <w:bookmarkEnd w:id="56"/>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日，阿坝州人民检察院共有车辆24辆，其中：执法执勤用车辆22辆、一般公务用车2辆；</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9"/>
        </w:numPr>
        <w:spacing w:line="600" w:lineRule="exact"/>
        <w:ind w:firstLine="663" w:firstLineChars="150"/>
        <w:jc w:val="center"/>
        <w:outlineLvl w:val="0"/>
        <w:rPr>
          <w:rStyle w:val="26"/>
          <w:rFonts w:ascii="黑体" w:hAnsi="黑体" w:eastAsia="黑体"/>
          <w:b w:val="0"/>
        </w:rPr>
      </w:pPr>
      <w:r>
        <w:rPr>
          <w:rFonts w:hint="eastAsia" w:ascii="黑体" w:hAnsi="黑体" w:eastAsia="黑体"/>
          <w:b/>
          <w:color w:val="000000"/>
          <w:sz w:val="44"/>
          <w:szCs w:val="44"/>
        </w:rPr>
        <w:t>名</w:t>
      </w:r>
      <w:r>
        <w:rPr>
          <w:rStyle w:val="26"/>
          <w:rFonts w:hint="eastAsia" w:ascii="黑体" w:hAnsi="黑体" w:eastAsia="黑体"/>
          <w:b w:val="0"/>
        </w:rPr>
        <w:t>词解释</w:t>
      </w:r>
      <w:bookmarkEnd w:id="50"/>
      <w:bookmarkEnd w:id="51"/>
    </w:p>
    <w:p>
      <w:pPr>
        <w:spacing w:line="600" w:lineRule="exact"/>
        <w:jc w:val="left"/>
        <w:rPr>
          <w:rFonts w:ascii="宋体"/>
          <w:b/>
          <w:color w:val="000000"/>
          <w:sz w:val="44"/>
          <w:szCs w:val="44"/>
        </w:rPr>
      </w:pPr>
    </w:p>
    <w:p>
      <w:pPr>
        <w:pStyle w:val="2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外交（类）…（款）…（项）：指……。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公共安全（类）…（款）…（项）：指……。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教育（类）…（款）…（项）：指……。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科学技术（类）…（款）…（项）：指……。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文化体育与传媒（类）…（款）…（项）：指……。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社会保障和就业（类）…（款）…（项）：指……。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医疗卫生与计划生育（类）…（款）…（项）：指……。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节能环保（类）…（款）…（项）：指……。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城乡社区（类）…（款）…（项）：指……。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19.</w:t>
      </w:r>
      <w:r>
        <w:rPr>
          <w:rFonts w:hint="eastAsia" w:ascii="仿宋_GB2312" w:eastAsia="仿宋_GB2312"/>
          <w:color w:val="000000"/>
          <w:sz w:val="32"/>
          <w:szCs w:val="32"/>
        </w:rPr>
        <w:t>农林水（类）…（款）…（项）：指……。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交通运输（类）…（款）…（项）：指……。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21.</w:t>
      </w:r>
      <w:r>
        <w:rPr>
          <w:rFonts w:hint="eastAsia" w:ascii="仿宋_GB2312" w:eastAsia="仿宋_GB2312"/>
          <w:color w:val="000000"/>
          <w:sz w:val="32"/>
          <w:szCs w:val="32"/>
        </w:rPr>
        <w:t>资源勘探信息等（类）…（款）…（项）：指……。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22.</w:t>
      </w:r>
      <w:r>
        <w:rPr>
          <w:rFonts w:hint="eastAsia" w:ascii="仿宋_GB2312" w:eastAsia="仿宋_GB2312"/>
          <w:color w:val="000000"/>
          <w:sz w:val="32"/>
          <w:szCs w:val="32"/>
        </w:rPr>
        <w:t>商业服务业（类）…（款）…（项）：指……。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23.</w:t>
      </w:r>
      <w:r>
        <w:rPr>
          <w:rFonts w:hint="eastAsia" w:ascii="仿宋_GB2312" w:eastAsia="仿宋_GB2312"/>
          <w:color w:val="000000"/>
          <w:sz w:val="32"/>
          <w:szCs w:val="32"/>
        </w:rPr>
        <w:t>金融（类）…（款）…（项）：指……。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24.</w:t>
      </w:r>
      <w:r>
        <w:rPr>
          <w:rFonts w:hint="eastAsia" w:ascii="仿宋_GB2312" w:eastAsia="仿宋_GB2312"/>
          <w:color w:val="000000"/>
          <w:sz w:val="32"/>
          <w:szCs w:val="32"/>
        </w:rPr>
        <w:t>国土海洋气象等（类）…（款）…（项）：指……。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25.</w:t>
      </w:r>
      <w:r>
        <w:rPr>
          <w:rFonts w:hint="eastAsia" w:ascii="仿宋_GB2312" w:eastAsia="仿宋_GB2312"/>
          <w:color w:val="000000"/>
          <w:sz w:val="32"/>
          <w:szCs w:val="32"/>
        </w:rPr>
        <w:t>住房保障（类）…（款）…（项）：指……。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26.</w:t>
      </w:r>
      <w:r>
        <w:rPr>
          <w:rFonts w:hint="eastAsia" w:ascii="仿宋_GB2312" w:eastAsia="仿宋_GB2312"/>
          <w:color w:val="000000"/>
          <w:sz w:val="32"/>
          <w:szCs w:val="32"/>
        </w:rPr>
        <w:t>粮油物资储备（类）…（款）…（项）：指……。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4"/>
        <w:spacing w:line="560" w:lineRule="exact"/>
        <w:ind w:firstLine="640" w:firstLineChars="200"/>
        <w:rPr>
          <w:rFonts w:ascii="仿宋_GB2312" w:eastAsia="仿宋_GB2312" w:cs="黑体"/>
          <w:sz w:val="32"/>
          <w:szCs w:val="32"/>
        </w:rPr>
      </w:pPr>
    </w:p>
    <w:p>
      <w:pPr>
        <w:spacing w:line="600" w:lineRule="exact"/>
        <w:jc w:val="center"/>
        <w:outlineLvl w:val="0"/>
        <w:rPr>
          <w:rStyle w:val="26"/>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6"/>
          <w:rFonts w:hint="eastAsia" w:ascii="黑体" w:hAnsi="黑体" w:eastAsia="黑体"/>
          <w:b w:val="0"/>
        </w:rPr>
        <w:t>四部分 附件</w:t>
      </w:r>
      <w:bookmarkEnd w:id="58"/>
    </w:p>
    <w:p>
      <w:pPr>
        <w:spacing w:line="600" w:lineRule="exact"/>
        <w:jc w:val="center"/>
        <w:outlineLvl w:val="0"/>
        <w:rPr>
          <w:rStyle w:val="26"/>
        </w:rPr>
      </w:pPr>
    </w:p>
    <w:p>
      <w:pPr>
        <w:pStyle w:val="3"/>
        <w:rPr>
          <w:rStyle w:val="26"/>
          <w:rFonts w:ascii="仿宋" w:hAnsi="仿宋" w:eastAsia="仿宋"/>
          <w:b w:val="0"/>
          <w:bCs w:val="0"/>
          <w:sz w:val="32"/>
          <w:szCs w:val="32"/>
        </w:rPr>
      </w:pPr>
      <w:bookmarkStart w:id="59" w:name="_Toc15396615"/>
      <w:r>
        <w:rPr>
          <w:rStyle w:val="26"/>
          <w:rFonts w:hint="eastAsia" w:ascii="仿宋" w:hAnsi="仿宋" w:eastAsia="仿宋"/>
          <w:b w:val="0"/>
          <w:bCs w:val="0"/>
          <w:sz w:val="32"/>
          <w:szCs w:val="32"/>
        </w:rPr>
        <w:t>附件1</w:t>
      </w:r>
      <w:bookmarkEnd w:id="59"/>
    </w:p>
    <w:p>
      <w:pPr>
        <w:spacing w:line="600" w:lineRule="exact"/>
        <w:jc w:val="center"/>
        <w:outlineLvl w:val="0"/>
        <w:rPr>
          <w:rFonts w:ascii="黑体" w:hAnsi="黑体" w:eastAsia="黑体" w:cs="方正小标宋简体"/>
          <w:sz w:val="36"/>
          <w:szCs w:val="36"/>
        </w:rPr>
      </w:pPr>
      <w:bookmarkStart w:id="60" w:name="_Toc15396616"/>
      <w:r>
        <w:rPr>
          <w:rFonts w:hint="eastAsia" w:ascii="黑体" w:hAnsi="黑体" w:eastAsia="黑体" w:cs="方正小标宋简体"/>
          <w:sz w:val="36"/>
          <w:szCs w:val="36"/>
        </w:rPr>
        <w:t>阿坝州人民检察院</w:t>
      </w:r>
    </w:p>
    <w:p>
      <w:pPr>
        <w:spacing w:line="600" w:lineRule="exact"/>
        <w:jc w:val="center"/>
        <w:outlineLvl w:val="0"/>
        <w:rPr>
          <w:rFonts w:ascii="黑体" w:hAnsi="黑体" w:eastAsia="黑体" w:cs="方正小标宋简体"/>
          <w:sz w:val="36"/>
          <w:szCs w:val="36"/>
        </w:rPr>
      </w:pPr>
      <w:r>
        <w:rPr>
          <w:rFonts w:hint="eastAsia" w:ascii="黑体" w:hAnsi="黑体" w:eastAsia="黑体" w:cs="方正小标宋简体"/>
          <w:sz w:val="36"/>
          <w:szCs w:val="36"/>
        </w:rPr>
        <w:t>2020年部门整体支出绩效评价报告</w:t>
      </w:r>
      <w:bookmarkEnd w:id="60"/>
    </w:p>
    <w:bookmarkEnd w:id="57"/>
    <w:p>
      <w:pPr>
        <w:spacing w:line="580" w:lineRule="exact"/>
        <w:rPr>
          <w:rFonts w:ascii="黑体" w:hAnsi="黑体" w:eastAsia="黑体" w:cs="黑体"/>
          <w:sz w:val="32"/>
          <w:szCs w:val="32"/>
        </w:rPr>
      </w:pPr>
    </w:p>
    <w:p>
      <w:pPr>
        <w:pStyle w:val="13"/>
        <w:widowControl/>
        <w:spacing w:line="640" w:lineRule="exact"/>
        <w:rPr>
          <w:rFonts w:hint="eastAsia" w:ascii="仿宋_GB2312" w:eastAsia="仿宋_GB2312"/>
          <w:sz w:val="32"/>
          <w:szCs w:val="32"/>
        </w:rPr>
      </w:pPr>
      <w:bookmarkStart w:id="61" w:name="_Toc15396617"/>
      <w:r>
        <w:rPr>
          <w:rFonts w:hint="eastAsia" w:ascii="仿宋_GB2312" w:hAnsi="宋体" w:eastAsia="仿宋_GB2312" w:cs="宋体"/>
          <w:color w:val="2A2A2A"/>
          <w:sz w:val="32"/>
          <w:szCs w:val="32"/>
          <w:lang w:val="en-US" w:eastAsia="zh-CN"/>
        </w:rPr>
        <w:t>州财政局</w:t>
      </w:r>
      <w:r>
        <w:rPr>
          <w:rFonts w:hint="eastAsia" w:ascii="仿宋_GB2312" w:hAnsi="宋体" w:eastAsia="仿宋_GB2312" w:cs="宋体"/>
          <w:color w:val="2A2A2A"/>
          <w:sz w:val="32"/>
          <w:szCs w:val="32"/>
        </w:rPr>
        <w:t>：</w:t>
      </w:r>
    </w:p>
    <w:p>
      <w:pPr>
        <w:pStyle w:val="13"/>
        <w:widowControl/>
        <w:spacing w:line="640" w:lineRule="exact"/>
        <w:ind w:firstLine="640" w:firstLineChars="200"/>
        <w:rPr>
          <w:rFonts w:hint="eastAsia" w:ascii="仿宋_GB2312" w:eastAsia="仿宋_GB2312"/>
          <w:sz w:val="32"/>
          <w:szCs w:val="32"/>
        </w:rPr>
      </w:pPr>
      <w:r>
        <w:rPr>
          <w:rFonts w:hint="eastAsia" w:ascii="仿宋_GB2312" w:hAnsi="宋体" w:eastAsia="仿宋_GB2312" w:cs="宋体"/>
          <w:color w:val="2A2A2A"/>
          <w:sz w:val="32"/>
          <w:szCs w:val="32"/>
        </w:rPr>
        <w:t>根据阿坝州财政局《关于开展</w:t>
      </w:r>
      <w:r>
        <w:rPr>
          <w:rFonts w:hint="eastAsia" w:ascii="仿宋_GB2312" w:hAnsi="宋体" w:eastAsia="仿宋_GB2312" w:cs="宋体"/>
          <w:color w:val="2A2A2A"/>
          <w:sz w:val="32"/>
          <w:szCs w:val="32"/>
          <w:lang w:val="en-US" w:eastAsia="zh-CN"/>
        </w:rPr>
        <w:t>2021</w:t>
      </w:r>
      <w:r>
        <w:rPr>
          <w:rFonts w:hint="eastAsia" w:ascii="仿宋_GB2312" w:hAnsi="宋体" w:eastAsia="仿宋_GB2312" w:cs="宋体"/>
          <w:color w:val="2A2A2A"/>
          <w:sz w:val="32"/>
          <w:szCs w:val="32"/>
        </w:rPr>
        <w:t>年财政支出绩效评价工作的通知》（阿州财</w:t>
      </w:r>
      <w:r>
        <w:rPr>
          <w:rFonts w:hint="eastAsia" w:ascii="仿宋_GB2312" w:hAnsi="宋体" w:eastAsia="仿宋_GB2312" w:cs="宋体"/>
          <w:color w:val="2A2A2A"/>
          <w:sz w:val="32"/>
          <w:szCs w:val="32"/>
          <w:lang w:eastAsia="zh-CN"/>
        </w:rPr>
        <w:t>监绩</w:t>
      </w:r>
      <w:r>
        <w:rPr>
          <w:rFonts w:hint="eastAsia" w:ascii="仿宋_GB2312" w:hAnsi="宋体" w:eastAsia="仿宋_GB2312" w:cs="宋体"/>
          <w:color w:val="2A2A2A"/>
          <w:sz w:val="32"/>
          <w:szCs w:val="32"/>
        </w:rPr>
        <w:t>〔20</w:t>
      </w:r>
      <w:r>
        <w:rPr>
          <w:rFonts w:hint="eastAsia" w:ascii="仿宋_GB2312" w:hAnsi="宋体" w:eastAsia="仿宋_GB2312" w:cs="宋体"/>
          <w:color w:val="2A2A2A"/>
          <w:sz w:val="32"/>
          <w:szCs w:val="32"/>
          <w:lang w:val="en-US" w:eastAsia="zh-CN"/>
        </w:rPr>
        <w:t>21</w:t>
      </w:r>
      <w:r>
        <w:rPr>
          <w:rFonts w:hint="eastAsia" w:ascii="仿宋_GB2312" w:hAnsi="宋体" w:eastAsia="仿宋_GB2312" w:cs="宋体"/>
          <w:color w:val="2A2A2A"/>
          <w:sz w:val="32"/>
          <w:szCs w:val="32"/>
        </w:rPr>
        <w:t>〕</w:t>
      </w:r>
      <w:r>
        <w:rPr>
          <w:rFonts w:hint="eastAsia" w:ascii="仿宋_GB2312" w:hAnsi="宋体" w:eastAsia="仿宋_GB2312" w:cs="宋体"/>
          <w:color w:val="2A2A2A"/>
          <w:sz w:val="32"/>
          <w:szCs w:val="32"/>
          <w:lang w:val="en-US" w:eastAsia="zh-CN"/>
        </w:rPr>
        <w:t>11</w:t>
      </w:r>
      <w:r>
        <w:rPr>
          <w:rFonts w:hint="eastAsia" w:ascii="仿宋_GB2312" w:hAnsi="宋体" w:eastAsia="仿宋_GB2312" w:cs="宋体"/>
          <w:color w:val="2A2A2A"/>
          <w:sz w:val="32"/>
          <w:szCs w:val="32"/>
        </w:rPr>
        <w:t>号），我院按照“全范围、全级次、全内容”的原则要求，对本院</w:t>
      </w:r>
      <w:r>
        <w:rPr>
          <w:rFonts w:hint="eastAsia" w:ascii="仿宋_GB2312" w:hAnsi="宋体" w:eastAsia="仿宋_GB2312" w:cs="宋体"/>
          <w:color w:val="2A2A2A"/>
          <w:sz w:val="32"/>
          <w:szCs w:val="32"/>
          <w:lang w:val="en-US" w:eastAsia="zh-CN"/>
        </w:rPr>
        <w:t>中央对地方专项转移支付预算执行情况绩效</w:t>
      </w:r>
      <w:r>
        <w:rPr>
          <w:rFonts w:hint="eastAsia" w:ascii="仿宋_GB2312" w:hAnsi="宋体" w:eastAsia="仿宋_GB2312" w:cs="宋体"/>
          <w:color w:val="2A2A2A"/>
          <w:sz w:val="32"/>
          <w:szCs w:val="32"/>
        </w:rPr>
        <w:t>自查自评，现将自查自评工作报告如下:</w:t>
      </w:r>
    </w:p>
    <w:p>
      <w:pPr>
        <w:pStyle w:val="13"/>
        <w:widowControl/>
        <w:spacing w:line="640" w:lineRule="exact"/>
        <w:ind w:firstLine="790" w:firstLineChars="246"/>
        <w:rPr>
          <w:rFonts w:hint="eastAsia" w:ascii="宋体" w:hAnsi="宋体"/>
          <w:b/>
          <w:sz w:val="32"/>
          <w:szCs w:val="32"/>
        </w:rPr>
      </w:pPr>
      <w:r>
        <w:rPr>
          <w:rFonts w:hint="eastAsia" w:ascii="宋体" w:hAnsi="宋体" w:cs="宋体"/>
          <w:b/>
          <w:color w:val="2A2A2A"/>
          <w:sz w:val="32"/>
          <w:szCs w:val="32"/>
        </w:rPr>
        <w:t>一、单位概况</w:t>
      </w:r>
    </w:p>
    <w:p>
      <w:pPr>
        <w:pStyle w:val="13"/>
        <w:widowControl/>
        <w:spacing w:line="640" w:lineRule="exact"/>
        <w:ind w:firstLine="630" w:firstLineChars="196"/>
        <w:rPr>
          <w:rFonts w:hint="eastAsia" w:ascii="仿宋_GB2312" w:hAnsi="宋体" w:eastAsia="仿宋_GB2312" w:cs="宋体"/>
          <w:color w:val="2A2A2A"/>
          <w:sz w:val="32"/>
          <w:szCs w:val="32"/>
        </w:rPr>
      </w:pPr>
      <w:r>
        <w:rPr>
          <w:rFonts w:hint="eastAsia" w:ascii="仿宋_GB2312" w:hAnsi="宋体" w:eastAsia="仿宋_GB2312" w:cs="宋体"/>
          <w:b/>
          <w:color w:val="2A2A2A"/>
          <w:sz w:val="32"/>
          <w:szCs w:val="32"/>
        </w:rPr>
        <w:t>（一）机构</w:t>
      </w:r>
      <w:r>
        <w:rPr>
          <w:rFonts w:hint="eastAsia" w:ascii="仿宋_GB2312" w:hAnsi="宋体" w:eastAsia="仿宋_GB2312" w:cs="宋体"/>
          <w:b/>
          <w:color w:val="2A2A2A"/>
          <w:sz w:val="32"/>
          <w:szCs w:val="32"/>
          <w:lang w:val="en-US" w:eastAsia="zh-CN"/>
        </w:rPr>
        <w:t>组成</w:t>
      </w:r>
      <w:r>
        <w:rPr>
          <w:rFonts w:hint="eastAsia" w:ascii="仿宋_GB2312" w:hAnsi="宋体" w:eastAsia="仿宋_GB2312" w:cs="宋体"/>
          <w:b/>
          <w:color w:val="2A2A2A"/>
          <w:sz w:val="32"/>
          <w:szCs w:val="32"/>
        </w:rPr>
        <w:t>。</w:t>
      </w:r>
      <w:r>
        <w:rPr>
          <w:rFonts w:hint="eastAsia" w:ascii="仿宋_GB2312" w:hAnsi="宋体" w:eastAsia="仿宋_GB2312" w:cs="宋体"/>
          <w:color w:val="2A2A2A"/>
          <w:sz w:val="32"/>
          <w:szCs w:val="32"/>
        </w:rPr>
        <w:t>我院内设机构</w:t>
      </w:r>
      <w:r>
        <w:rPr>
          <w:rFonts w:hint="eastAsia" w:ascii="仿宋_GB2312" w:hAnsi="宋体" w:eastAsia="仿宋_GB2312" w:cs="宋体"/>
          <w:color w:val="2A2A2A"/>
          <w:sz w:val="32"/>
          <w:szCs w:val="32"/>
          <w:lang w:val="en-US" w:eastAsia="zh-CN"/>
        </w:rPr>
        <w:t>14</w:t>
      </w:r>
      <w:r>
        <w:rPr>
          <w:rFonts w:hint="eastAsia" w:ascii="仿宋_GB2312" w:hAnsi="宋体" w:eastAsia="仿宋_GB2312" w:cs="宋体"/>
          <w:color w:val="2A2A2A"/>
          <w:sz w:val="32"/>
          <w:szCs w:val="32"/>
        </w:rPr>
        <w:t>个，具体是：办公室、政治</w:t>
      </w:r>
      <w:r>
        <w:rPr>
          <w:rFonts w:hint="eastAsia" w:ascii="仿宋_GB2312" w:hAnsi="宋体" w:eastAsia="仿宋_GB2312" w:cs="宋体"/>
          <w:color w:val="2A2A2A"/>
          <w:sz w:val="32"/>
          <w:szCs w:val="32"/>
          <w:lang w:val="en-US" w:eastAsia="zh-CN"/>
        </w:rPr>
        <w:t>部、</w:t>
      </w:r>
      <w:r>
        <w:rPr>
          <w:rFonts w:hint="eastAsia" w:ascii="仿宋_GB2312" w:hAnsi="宋体" w:eastAsia="仿宋_GB2312" w:cs="宋体"/>
          <w:color w:val="2A2A2A"/>
          <w:sz w:val="32"/>
          <w:szCs w:val="32"/>
          <w:lang w:eastAsia="zh-CN"/>
        </w:rPr>
        <w:t>第一检察部、第</w:t>
      </w:r>
      <w:r>
        <w:rPr>
          <w:rFonts w:hint="eastAsia" w:ascii="仿宋_GB2312" w:hAnsi="宋体" w:eastAsia="仿宋_GB2312" w:cs="宋体"/>
          <w:color w:val="2A2A2A"/>
          <w:sz w:val="32"/>
          <w:szCs w:val="32"/>
          <w:lang w:val="en-US" w:eastAsia="zh-CN"/>
        </w:rPr>
        <w:t>二</w:t>
      </w:r>
      <w:r>
        <w:rPr>
          <w:rFonts w:hint="eastAsia" w:ascii="仿宋_GB2312" w:hAnsi="宋体" w:eastAsia="仿宋_GB2312" w:cs="宋体"/>
          <w:color w:val="2A2A2A"/>
          <w:sz w:val="32"/>
          <w:szCs w:val="32"/>
          <w:lang w:eastAsia="zh-CN"/>
        </w:rPr>
        <w:t>检察部、第</w:t>
      </w:r>
      <w:r>
        <w:rPr>
          <w:rFonts w:hint="eastAsia" w:ascii="仿宋_GB2312" w:hAnsi="宋体" w:eastAsia="仿宋_GB2312" w:cs="宋体"/>
          <w:color w:val="2A2A2A"/>
          <w:sz w:val="32"/>
          <w:szCs w:val="32"/>
          <w:lang w:val="en-US" w:eastAsia="zh-CN"/>
        </w:rPr>
        <w:t>三</w:t>
      </w:r>
      <w:r>
        <w:rPr>
          <w:rFonts w:hint="eastAsia" w:ascii="仿宋_GB2312" w:hAnsi="宋体" w:eastAsia="仿宋_GB2312" w:cs="宋体"/>
          <w:color w:val="2A2A2A"/>
          <w:sz w:val="32"/>
          <w:szCs w:val="32"/>
          <w:lang w:eastAsia="zh-CN"/>
        </w:rPr>
        <w:t>检察部</w:t>
      </w:r>
      <w:r>
        <w:rPr>
          <w:rFonts w:hint="eastAsia" w:ascii="仿宋_GB2312" w:hAnsi="宋体" w:eastAsia="仿宋_GB2312" w:cs="宋体"/>
          <w:color w:val="2A2A2A"/>
          <w:sz w:val="32"/>
          <w:szCs w:val="32"/>
        </w:rPr>
        <w:t>、</w:t>
      </w:r>
      <w:r>
        <w:rPr>
          <w:rFonts w:hint="eastAsia" w:ascii="仿宋_GB2312" w:hAnsi="宋体" w:eastAsia="仿宋_GB2312" w:cs="宋体"/>
          <w:color w:val="2A2A2A"/>
          <w:sz w:val="32"/>
          <w:szCs w:val="32"/>
          <w:lang w:eastAsia="zh-CN"/>
        </w:rPr>
        <w:t>第</w:t>
      </w:r>
      <w:r>
        <w:rPr>
          <w:rFonts w:hint="eastAsia" w:ascii="仿宋_GB2312" w:hAnsi="宋体" w:eastAsia="仿宋_GB2312" w:cs="宋体"/>
          <w:color w:val="2A2A2A"/>
          <w:sz w:val="32"/>
          <w:szCs w:val="32"/>
          <w:lang w:val="en-US" w:eastAsia="zh-CN"/>
        </w:rPr>
        <w:t>四</w:t>
      </w:r>
      <w:r>
        <w:rPr>
          <w:rFonts w:hint="eastAsia" w:ascii="仿宋_GB2312" w:hAnsi="宋体" w:eastAsia="仿宋_GB2312" w:cs="宋体"/>
          <w:color w:val="2A2A2A"/>
          <w:sz w:val="32"/>
          <w:szCs w:val="32"/>
          <w:lang w:eastAsia="zh-CN"/>
        </w:rPr>
        <w:t>检察部</w:t>
      </w:r>
      <w:r>
        <w:rPr>
          <w:rFonts w:hint="eastAsia" w:ascii="仿宋_GB2312" w:hAnsi="宋体" w:eastAsia="仿宋_GB2312" w:cs="宋体"/>
          <w:color w:val="2A2A2A"/>
          <w:sz w:val="32"/>
          <w:szCs w:val="32"/>
        </w:rPr>
        <w:t>、</w:t>
      </w:r>
      <w:r>
        <w:rPr>
          <w:rFonts w:hint="eastAsia" w:ascii="仿宋_GB2312" w:hAnsi="宋体" w:eastAsia="仿宋_GB2312" w:cs="宋体"/>
          <w:color w:val="2A2A2A"/>
          <w:sz w:val="32"/>
          <w:szCs w:val="32"/>
          <w:lang w:eastAsia="zh-CN"/>
        </w:rPr>
        <w:t>第</w:t>
      </w:r>
      <w:r>
        <w:rPr>
          <w:rFonts w:hint="eastAsia" w:ascii="仿宋_GB2312" w:hAnsi="宋体" w:eastAsia="仿宋_GB2312" w:cs="宋体"/>
          <w:color w:val="2A2A2A"/>
          <w:sz w:val="32"/>
          <w:szCs w:val="32"/>
          <w:lang w:val="en-US" w:eastAsia="zh-CN"/>
        </w:rPr>
        <w:t>五</w:t>
      </w:r>
      <w:r>
        <w:rPr>
          <w:rFonts w:hint="eastAsia" w:ascii="仿宋_GB2312" w:hAnsi="宋体" w:eastAsia="仿宋_GB2312" w:cs="宋体"/>
          <w:color w:val="2A2A2A"/>
          <w:sz w:val="32"/>
          <w:szCs w:val="32"/>
          <w:lang w:eastAsia="zh-CN"/>
        </w:rPr>
        <w:t>检察部</w:t>
      </w:r>
      <w:r>
        <w:rPr>
          <w:rFonts w:hint="eastAsia" w:ascii="仿宋_GB2312" w:hAnsi="宋体" w:eastAsia="仿宋_GB2312" w:cs="宋体"/>
          <w:color w:val="2A2A2A"/>
          <w:sz w:val="32"/>
          <w:szCs w:val="32"/>
        </w:rPr>
        <w:t>、</w:t>
      </w:r>
      <w:r>
        <w:rPr>
          <w:rFonts w:hint="eastAsia" w:ascii="仿宋_GB2312" w:hAnsi="宋体" w:eastAsia="仿宋_GB2312" w:cs="宋体"/>
          <w:color w:val="2A2A2A"/>
          <w:sz w:val="32"/>
          <w:szCs w:val="32"/>
          <w:lang w:eastAsia="zh-CN"/>
        </w:rPr>
        <w:t>第</w:t>
      </w:r>
      <w:r>
        <w:rPr>
          <w:rFonts w:hint="eastAsia" w:ascii="仿宋_GB2312" w:hAnsi="宋体" w:eastAsia="仿宋_GB2312" w:cs="宋体"/>
          <w:color w:val="2A2A2A"/>
          <w:sz w:val="32"/>
          <w:szCs w:val="32"/>
          <w:lang w:val="en-US" w:eastAsia="zh-CN"/>
        </w:rPr>
        <w:t>六</w:t>
      </w:r>
      <w:r>
        <w:rPr>
          <w:rFonts w:hint="eastAsia" w:ascii="仿宋_GB2312" w:hAnsi="宋体" w:eastAsia="仿宋_GB2312" w:cs="宋体"/>
          <w:color w:val="2A2A2A"/>
          <w:sz w:val="32"/>
          <w:szCs w:val="32"/>
          <w:lang w:eastAsia="zh-CN"/>
        </w:rPr>
        <w:t>检察部</w:t>
      </w:r>
      <w:r>
        <w:rPr>
          <w:rFonts w:hint="eastAsia" w:ascii="仿宋_GB2312" w:hAnsi="宋体" w:eastAsia="仿宋_GB2312" w:cs="宋体"/>
          <w:color w:val="2A2A2A"/>
          <w:sz w:val="32"/>
          <w:szCs w:val="32"/>
        </w:rPr>
        <w:t>、</w:t>
      </w:r>
      <w:r>
        <w:rPr>
          <w:rFonts w:hint="eastAsia" w:ascii="仿宋_GB2312" w:hAnsi="宋体" w:eastAsia="仿宋_GB2312" w:cs="宋体"/>
          <w:color w:val="2A2A2A"/>
          <w:sz w:val="32"/>
          <w:szCs w:val="32"/>
          <w:lang w:eastAsia="zh-CN"/>
        </w:rPr>
        <w:t>第</w:t>
      </w:r>
      <w:r>
        <w:rPr>
          <w:rFonts w:hint="eastAsia" w:ascii="仿宋_GB2312" w:hAnsi="宋体" w:eastAsia="仿宋_GB2312" w:cs="宋体"/>
          <w:color w:val="2A2A2A"/>
          <w:sz w:val="32"/>
          <w:szCs w:val="32"/>
          <w:lang w:val="en-US" w:eastAsia="zh-CN"/>
        </w:rPr>
        <w:t>七</w:t>
      </w:r>
      <w:r>
        <w:rPr>
          <w:rFonts w:hint="eastAsia" w:ascii="仿宋_GB2312" w:hAnsi="宋体" w:eastAsia="仿宋_GB2312" w:cs="宋体"/>
          <w:color w:val="2A2A2A"/>
          <w:sz w:val="32"/>
          <w:szCs w:val="32"/>
          <w:lang w:eastAsia="zh-CN"/>
        </w:rPr>
        <w:t>检察部</w:t>
      </w:r>
      <w:r>
        <w:rPr>
          <w:rFonts w:hint="eastAsia" w:ascii="仿宋_GB2312" w:hAnsi="宋体" w:eastAsia="仿宋_GB2312" w:cs="宋体"/>
          <w:color w:val="2A2A2A"/>
          <w:sz w:val="32"/>
          <w:szCs w:val="32"/>
        </w:rPr>
        <w:t>、</w:t>
      </w:r>
      <w:r>
        <w:rPr>
          <w:rFonts w:hint="eastAsia" w:ascii="仿宋_GB2312" w:hAnsi="宋体" w:eastAsia="仿宋_GB2312" w:cs="宋体"/>
          <w:color w:val="2A2A2A"/>
          <w:sz w:val="32"/>
          <w:szCs w:val="32"/>
          <w:lang w:eastAsia="zh-CN"/>
        </w:rPr>
        <w:t>第</w:t>
      </w:r>
      <w:r>
        <w:rPr>
          <w:rFonts w:hint="eastAsia" w:ascii="仿宋_GB2312" w:hAnsi="宋体" w:eastAsia="仿宋_GB2312" w:cs="宋体"/>
          <w:color w:val="2A2A2A"/>
          <w:sz w:val="32"/>
          <w:szCs w:val="32"/>
          <w:lang w:val="en-US" w:eastAsia="zh-CN"/>
        </w:rPr>
        <w:t>八</w:t>
      </w:r>
      <w:r>
        <w:rPr>
          <w:rFonts w:hint="eastAsia" w:ascii="仿宋_GB2312" w:hAnsi="宋体" w:eastAsia="仿宋_GB2312" w:cs="宋体"/>
          <w:color w:val="2A2A2A"/>
          <w:sz w:val="32"/>
          <w:szCs w:val="32"/>
          <w:lang w:eastAsia="zh-CN"/>
        </w:rPr>
        <w:t>检察部、</w:t>
      </w:r>
      <w:r>
        <w:rPr>
          <w:rFonts w:hint="eastAsia" w:ascii="仿宋_GB2312" w:hAnsi="宋体" w:eastAsia="仿宋_GB2312" w:cs="宋体"/>
          <w:color w:val="2A2A2A"/>
          <w:sz w:val="32"/>
          <w:szCs w:val="32"/>
        </w:rPr>
        <w:t>计划财务装备</w:t>
      </w:r>
      <w:r>
        <w:rPr>
          <w:rFonts w:hint="eastAsia" w:ascii="仿宋_GB2312" w:hAnsi="宋体" w:eastAsia="仿宋_GB2312" w:cs="宋体"/>
          <w:color w:val="2A2A2A"/>
          <w:sz w:val="32"/>
          <w:szCs w:val="32"/>
          <w:lang w:eastAsia="zh-CN"/>
        </w:rPr>
        <w:t>部、</w:t>
      </w:r>
      <w:r>
        <w:rPr>
          <w:rFonts w:hint="eastAsia" w:ascii="仿宋_GB2312" w:hAnsi="宋体" w:eastAsia="仿宋_GB2312" w:cs="宋体"/>
          <w:color w:val="2A2A2A"/>
          <w:sz w:val="32"/>
          <w:szCs w:val="32"/>
        </w:rPr>
        <w:t>法律政策研究室、人民监督员办公室、案件管理办公室。</w:t>
      </w:r>
    </w:p>
    <w:p>
      <w:pPr>
        <w:pStyle w:val="6"/>
        <w:spacing w:line="360" w:lineRule="auto"/>
        <w:ind w:firstLine="643" w:firstLineChars="200"/>
        <w:rPr>
          <w:rFonts w:hint="eastAsia" w:ascii="仿宋_GB2312"/>
          <w:b/>
          <w:sz w:val="30"/>
          <w:szCs w:val="30"/>
        </w:rPr>
      </w:pPr>
      <w:r>
        <w:rPr>
          <w:rFonts w:hint="eastAsia" w:ascii="仿宋_GB2312" w:hAnsi="宋体" w:eastAsia="仿宋_GB2312" w:cs="宋体"/>
          <w:b/>
          <w:i w:val="0"/>
          <w:color w:val="2A2A2A"/>
          <w:spacing w:val="0"/>
          <w:kern w:val="0"/>
          <w:sz w:val="32"/>
          <w:szCs w:val="32"/>
          <w:lang w:val="en-US" w:eastAsia="zh-CN" w:bidi="ar"/>
        </w:rPr>
        <w:t>（二）机构职能</w:t>
      </w:r>
      <w:r>
        <w:rPr>
          <w:rFonts w:hint="eastAsia" w:ascii="仿宋_GB2312" w:cs="宋体"/>
          <w:b/>
          <w:i w:val="0"/>
          <w:color w:val="2A2A2A"/>
          <w:spacing w:val="0"/>
          <w:kern w:val="0"/>
          <w:sz w:val="32"/>
          <w:szCs w:val="32"/>
          <w:lang w:val="en-US" w:eastAsia="zh-CN" w:bidi="ar"/>
        </w:rPr>
        <w:t>。</w:t>
      </w:r>
      <w:r>
        <w:rPr>
          <w:rFonts w:hint="eastAsia" w:ascii="仿宋_GB2312"/>
          <w:sz w:val="30"/>
          <w:szCs w:val="30"/>
        </w:rPr>
        <w:t>阿坝州人民检察院是国家的法律监督机关。领导全州各县人民检察院的工作，对阿坝州人民代表大会及其常务委员会负责并报告工作，根据我国宪法规定，人民检察院主要职责是：依法履行监督职能，保证国家法律的统一和正确实施</w:t>
      </w:r>
      <w:r>
        <w:rPr>
          <w:rFonts w:hint="eastAsia" w:ascii="仿宋_GB2312"/>
          <w:b/>
          <w:sz w:val="30"/>
          <w:szCs w:val="30"/>
        </w:rPr>
        <w:t>。</w:t>
      </w:r>
    </w:p>
    <w:p>
      <w:pPr>
        <w:pStyle w:val="6"/>
        <w:spacing w:line="360" w:lineRule="auto"/>
        <w:ind w:firstLine="900" w:firstLineChars="300"/>
        <w:rPr>
          <w:rFonts w:hint="eastAsia" w:ascii="仿宋_GB2312" w:hAnsi="宋体" w:eastAsia="仿宋_GB2312" w:cs="宋体"/>
          <w:color w:val="2A2A2A"/>
          <w:sz w:val="32"/>
          <w:szCs w:val="32"/>
        </w:rPr>
      </w:pPr>
      <w:r>
        <w:rPr>
          <w:rFonts w:hint="eastAsia" w:ascii="仿宋_GB2312"/>
          <w:sz w:val="30"/>
          <w:szCs w:val="30"/>
        </w:rPr>
        <w:t>根据州委、州政府关于</w:t>
      </w:r>
      <w:r>
        <w:rPr>
          <w:rFonts w:hint="eastAsia" w:ascii="仿宋_GB2312"/>
          <w:sz w:val="30"/>
          <w:szCs w:val="30"/>
          <w:lang w:val="en-US" w:eastAsia="zh-CN"/>
        </w:rPr>
        <w:t>2020</w:t>
      </w:r>
      <w:r>
        <w:rPr>
          <w:rFonts w:hint="eastAsia" w:ascii="仿宋_GB2312"/>
          <w:sz w:val="30"/>
          <w:szCs w:val="30"/>
        </w:rPr>
        <w:t>年全州工作的总体部署，</w:t>
      </w:r>
      <w:r>
        <w:rPr>
          <w:rFonts w:hint="eastAsia" w:ascii="仿宋_GB2312"/>
          <w:sz w:val="30"/>
          <w:szCs w:val="30"/>
          <w:lang w:val="en-US" w:eastAsia="zh-CN"/>
        </w:rPr>
        <w:t>2020</w:t>
      </w:r>
      <w:r>
        <w:rPr>
          <w:rFonts w:hint="eastAsia" w:ascii="仿宋_GB2312"/>
          <w:sz w:val="30"/>
          <w:szCs w:val="30"/>
        </w:rPr>
        <w:t>年主要工作是: 1.负责全州人民检察院宏观管理、指挥和协调。2.负责依法查处办理</w:t>
      </w:r>
      <w:r>
        <w:rPr>
          <w:rFonts w:hint="eastAsia" w:ascii="仿宋_GB2312"/>
          <w:sz w:val="30"/>
          <w:szCs w:val="30"/>
          <w:lang w:val="en-US" w:eastAsia="zh-CN"/>
        </w:rPr>
        <w:t>国家司法执法人员</w:t>
      </w:r>
      <w:r>
        <w:rPr>
          <w:rFonts w:hint="eastAsia" w:ascii="仿宋_GB2312"/>
          <w:sz w:val="30"/>
          <w:szCs w:val="30"/>
        </w:rPr>
        <w:t>贪污贿赂犯罪和国家</w:t>
      </w:r>
      <w:r>
        <w:rPr>
          <w:rFonts w:hint="eastAsia" w:ascii="仿宋_GB2312"/>
          <w:sz w:val="30"/>
          <w:szCs w:val="30"/>
          <w:lang w:val="en-US" w:eastAsia="zh-CN"/>
        </w:rPr>
        <w:t>司法执法</w:t>
      </w:r>
      <w:r>
        <w:rPr>
          <w:rFonts w:hint="eastAsia" w:ascii="仿宋_GB2312"/>
          <w:sz w:val="30"/>
          <w:szCs w:val="30"/>
        </w:rPr>
        <w:t xml:space="preserve">工作人员的渎职犯罪的案件。3.领导全州各县检察院依法对刑事诉讼、民事审判和行政诉讼实行监督。4.督促、指导、协调全州检察机关侦破、查处、办理各类刑事案件。5.负责全州人民检察院制度建设，指导全州人民检察院执法工作，对全州人民检察院执法质量进行监督、检查、考评。6.负责编制全州人民检察院发展建设规划，组织指导全州人民检察院装备、基础设施建设；承担装备专用物资的申请、购置、调拨、发放和管理工作。7.负责全州人民检察院机构设置、编制和人员配备的审核报批，干警招收录用协调及教育培训、立功受奖、优扶、宣传等工作，协管各县检察机关领导干部。8.负责对全州检察队伍执行法律、法规和有关规定情况、作风纪律情况及重要工作开展情况进行督察，组织查处或指导查处检察院干警违法、违纪案件，指导全州检察队伍党风廉政建设。9.负责检察系统不稳定因素的协调和调解工作；担负机关维稳、综治、消防等工作。 </w:t>
      </w:r>
    </w:p>
    <w:p>
      <w:pPr>
        <w:pStyle w:val="13"/>
        <w:widowControl/>
        <w:spacing w:line="640" w:lineRule="exact"/>
        <w:ind w:firstLine="482" w:firstLineChars="150"/>
        <w:rPr>
          <w:rFonts w:hint="eastAsia" w:ascii="仿宋_GB2312" w:hAnsi="宋体" w:eastAsia="仿宋_GB2312" w:cs="宋体"/>
          <w:color w:val="2A2A2A"/>
          <w:sz w:val="32"/>
          <w:szCs w:val="32"/>
        </w:rPr>
      </w:pPr>
      <w:r>
        <w:rPr>
          <w:rFonts w:hint="eastAsia" w:ascii="仿宋_GB2312" w:hAnsi="宋体" w:eastAsia="仿宋_GB2312" w:cs="宋体"/>
          <w:b/>
          <w:color w:val="2A2A2A"/>
          <w:sz w:val="32"/>
          <w:szCs w:val="32"/>
        </w:rPr>
        <w:t>（二）人员</w:t>
      </w:r>
      <w:r>
        <w:rPr>
          <w:rFonts w:hint="eastAsia" w:ascii="仿宋_GB2312" w:hAnsi="宋体" w:eastAsia="仿宋_GB2312" w:cs="宋体"/>
          <w:b/>
          <w:color w:val="2A2A2A"/>
          <w:sz w:val="32"/>
          <w:szCs w:val="32"/>
          <w:lang w:val="en-US" w:eastAsia="zh-CN"/>
        </w:rPr>
        <w:t>概况</w:t>
      </w:r>
      <w:r>
        <w:rPr>
          <w:rFonts w:hint="eastAsia" w:ascii="仿宋_GB2312" w:hAnsi="宋体" w:eastAsia="仿宋_GB2312" w:cs="宋体"/>
          <w:b/>
          <w:color w:val="2A2A2A"/>
          <w:sz w:val="32"/>
          <w:szCs w:val="32"/>
        </w:rPr>
        <w:t>。</w:t>
      </w:r>
      <w:r>
        <w:rPr>
          <w:rFonts w:hint="eastAsia" w:ascii="仿宋_GB2312" w:hAnsi="宋体" w:eastAsia="仿宋_GB2312" w:cs="宋体"/>
          <w:color w:val="2A2A2A"/>
          <w:sz w:val="32"/>
          <w:szCs w:val="32"/>
        </w:rPr>
        <w:t>我院人员编制数</w:t>
      </w:r>
      <w:r>
        <w:rPr>
          <w:rFonts w:hint="eastAsia" w:ascii="仿宋_GB2312" w:hAnsi="宋体" w:eastAsia="仿宋_GB2312" w:cs="宋体"/>
          <w:color w:val="2A2A2A"/>
          <w:sz w:val="32"/>
          <w:szCs w:val="32"/>
          <w:lang w:val="en-US" w:eastAsia="zh-CN"/>
        </w:rPr>
        <w:t>72</w:t>
      </w:r>
      <w:r>
        <w:rPr>
          <w:rFonts w:hint="eastAsia" w:ascii="仿宋_GB2312" w:hAnsi="宋体" w:eastAsia="仿宋_GB2312" w:cs="宋体"/>
          <w:color w:val="2A2A2A"/>
          <w:sz w:val="32"/>
          <w:szCs w:val="32"/>
        </w:rPr>
        <w:t>名，其中政法专项编制</w:t>
      </w:r>
      <w:r>
        <w:rPr>
          <w:rFonts w:hint="eastAsia" w:ascii="仿宋_GB2312" w:hAnsi="宋体" w:eastAsia="仿宋_GB2312" w:cs="宋体"/>
          <w:color w:val="2A2A2A"/>
          <w:sz w:val="32"/>
          <w:szCs w:val="32"/>
          <w:lang w:val="en-US" w:eastAsia="zh-CN"/>
        </w:rPr>
        <w:t>59</w:t>
      </w:r>
      <w:r>
        <w:rPr>
          <w:rFonts w:hint="eastAsia" w:ascii="仿宋_GB2312" w:hAnsi="宋体" w:eastAsia="仿宋_GB2312" w:cs="宋体"/>
          <w:color w:val="2A2A2A"/>
          <w:sz w:val="32"/>
          <w:szCs w:val="32"/>
        </w:rPr>
        <w:t>名，工勤编制13名。截止20</w:t>
      </w:r>
      <w:r>
        <w:rPr>
          <w:rFonts w:hint="eastAsia" w:ascii="仿宋_GB2312" w:hAnsi="宋体" w:eastAsia="仿宋_GB2312" w:cs="宋体"/>
          <w:color w:val="2A2A2A"/>
          <w:sz w:val="32"/>
          <w:szCs w:val="32"/>
          <w:lang w:val="en-US" w:eastAsia="zh-CN"/>
        </w:rPr>
        <w:t>21</w:t>
      </w:r>
      <w:r>
        <w:rPr>
          <w:rFonts w:hint="eastAsia" w:ascii="仿宋_GB2312" w:hAnsi="宋体" w:eastAsia="仿宋_GB2312" w:cs="宋体"/>
          <w:color w:val="2A2A2A"/>
          <w:sz w:val="32"/>
          <w:szCs w:val="32"/>
        </w:rPr>
        <w:t>年</w:t>
      </w:r>
      <w:r>
        <w:rPr>
          <w:rFonts w:hint="eastAsia" w:ascii="仿宋_GB2312" w:hAnsi="宋体" w:eastAsia="仿宋_GB2312" w:cs="宋体"/>
          <w:color w:val="2A2A2A"/>
          <w:sz w:val="32"/>
          <w:szCs w:val="32"/>
          <w:lang w:val="en-US" w:eastAsia="zh-CN"/>
        </w:rPr>
        <w:t>6</w:t>
      </w:r>
      <w:r>
        <w:rPr>
          <w:rFonts w:hint="eastAsia" w:ascii="仿宋_GB2312" w:hAnsi="宋体" w:eastAsia="仿宋_GB2312" w:cs="宋体"/>
          <w:color w:val="2A2A2A"/>
          <w:sz w:val="32"/>
          <w:szCs w:val="32"/>
        </w:rPr>
        <w:t>月底在职人员总数</w:t>
      </w:r>
      <w:r>
        <w:rPr>
          <w:rFonts w:hint="eastAsia" w:ascii="仿宋_GB2312" w:hAnsi="宋体" w:eastAsia="仿宋_GB2312" w:cs="宋体"/>
          <w:color w:val="2A2A2A"/>
          <w:sz w:val="32"/>
          <w:szCs w:val="32"/>
          <w:lang w:val="en-US" w:eastAsia="zh-CN"/>
        </w:rPr>
        <w:t>59</w:t>
      </w:r>
      <w:r>
        <w:rPr>
          <w:rFonts w:hint="eastAsia" w:ascii="仿宋_GB2312" w:hAnsi="宋体" w:eastAsia="仿宋_GB2312" w:cs="宋体"/>
          <w:color w:val="2A2A2A"/>
          <w:sz w:val="32"/>
          <w:szCs w:val="32"/>
        </w:rPr>
        <w:t>名，其中</w:t>
      </w:r>
      <w:r>
        <w:rPr>
          <w:rFonts w:hint="eastAsia" w:ascii="仿宋_GB2312" w:hAnsi="宋体" w:eastAsia="仿宋_GB2312" w:cs="宋体"/>
          <w:color w:val="2A2A2A"/>
          <w:sz w:val="32"/>
          <w:szCs w:val="32"/>
          <w:lang w:val="en-US" w:eastAsia="zh-CN"/>
        </w:rPr>
        <w:t>政法专项编制52</w:t>
      </w:r>
      <w:r>
        <w:rPr>
          <w:rFonts w:hint="eastAsia" w:ascii="仿宋_GB2312" w:hAnsi="宋体" w:eastAsia="仿宋_GB2312" w:cs="宋体"/>
          <w:color w:val="2A2A2A"/>
          <w:sz w:val="32"/>
          <w:szCs w:val="32"/>
        </w:rPr>
        <w:t>人，工勤人员</w:t>
      </w:r>
      <w:r>
        <w:rPr>
          <w:rFonts w:hint="eastAsia" w:ascii="仿宋_GB2312" w:hAnsi="宋体" w:eastAsia="仿宋_GB2312" w:cs="宋体"/>
          <w:color w:val="2A2A2A"/>
          <w:sz w:val="32"/>
          <w:szCs w:val="32"/>
          <w:lang w:val="en-US" w:eastAsia="zh-CN"/>
        </w:rPr>
        <w:t>7</w:t>
      </w:r>
      <w:r>
        <w:rPr>
          <w:rFonts w:hint="eastAsia" w:ascii="仿宋_GB2312" w:hAnsi="宋体" w:eastAsia="仿宋_GB2312" w:cs="宋体"/>
          <w:color w:val="2A2A2A"/>
          <w:sz w:val="32"/>
          <w:szCs w:val="32"/>
        </w:rPr>
        <w:t>人；退休人员</w:t>
      </w:r>
      <w:r>
        <w:rPr>
          <w:rFonts w:hint="eastAsia" w:ascii="仿宋_GB2312" w:hAnsi="宋体" w:eastAsia="仿宋_GB2312" w:cs="宋体"/>
          <w:color w:val="2A2A2A"/>
          <w:sz w:val="32"/>
          <w:szCs w:val="32"/>
          <w:lang w:val="en-US" w:eastAsia="zh-CN"/>
        </w:rPr>
        <w:t>39</w:t>
      </w:r>
      <w:r>
        <w:rPr>
          <w:rFonts w:hint="eastAsia" w:ascii="仿宋_GB2312" w:hAnsi="宋体" w:eastAsia="仿宋_GB2312" w:cs="宋体"/>
          <w:color w:val="2A2A2A"/>
          <w:sz w:val="32"/>
          <w:szCs w:val="32"/>
        </w:rPr>
        <w:t>人、离休人员2人。检察长1人，副检察长3人，党组成员</w:t>
      </w:r>
      <w:r>
        <w:rPr>
          <w:rFonts w:hint="eastAsia" w:ascii="仿宋_GB2312" w:hAnsi="宋体" w:eastAsia="仿宋_GB2312" w:cs="宋体"/>
          <w:color w:val="2A2A2A"/>
          <w:sz w:val="32"/>
          <w:szCs w:val="32"/>
          <w:lang w:val="en-US" w:eastAsia="zh-CN"/>
        </w:rPr>
        <w:t>7</w:t>
      </w:r>
      <w:r>
        <w:rPr>
          <w:rFonts w:hint="eastAsia" w:ascii="仿宋_GB2312" w:hAnsi="宋体" w:eastAsia="仿宋_GB2312" w:cs="宋体"/>
          <w:color w:val="2A2A2A"/>
          <w:sz w:val="32"/>
          <w:szCs w:val="32"/>
        </w:rPr>
        <w:t>人（含正副检察长）。纪检组长、政治部主任、2名专检委委员、1名机关党总支书记为实职副县级领导干部。</w:t>
      </w:r>
    </w:p>
    <w:p>
      <w:pPr>
        <w:pStyle w:val="13"/>
        <w:widowControl/>
        <w:spacing w:line="640" w:lineRule="exact"/>
        <w:ind w:firstLine="630" w:firstLineChars="196"/>
        <w:rPr>
          <w:rFonts w:hint="eastAsia" w:ascii="宋体" w:hAnsi="宋体" w:cs="宋体"/>
          <w:b/>
          <w:color w:val="2A2A2A"/>
          <w:sz w:val="32"/>
          <w:szCs w:val="32"/>
        </w:rPr>
      </w:pPr>
      <w:r>
        <w:rPr>
          <w:rFonts w:hint="eastAsia" w:ascii="宋体" w:hAnsi="宋体" w:cs="宋体"/>
          <w:b/>
          <w:color w:val="2A2A2A"/>
          <w:sz w:val="32"/>
          <w:szCs w:val="32"/>
        </w:rPr>
        <w:t>二、财政资金收支情况</w:t>
      </w:r>
    </w:p>
    <w:p>
      <w:pPr>
        <w:pStyle w:val="13"/>
        <w:widowControl/>
        <w:spacing w:line="640" w:lineRule="exact"/>
        <w:ind w:firstLine="472" w:firstLineChars="147"/>
        <w:rPr>
          <w:rFonts w:hint="eastAsia" w:ascii="仿宋_GB2312" w:hAnsi="宋体" w:eastAsia="仿宋_GB2312" w:cs="宋体"/>
          <w:color w:val="2A2A2A"/>
          <w:sz w:val="32"/>
          <w:szCs w:val="32"/>
        </w:rPr>
      </w:pPr>
      <w:r>
        <w:rPr>
          <w:rFonts w:hint="eastAsia" w:ascii="仿宋_GB2312" w:hAnsi="宋体" w:eastAsia="仿宋_GB2312" w:cs="宋体"/>
          <w:b/>
          <w:color w:val="2A2A2A"/>
          <w:sz w:val="32"/>
          <w:szCs w:val="32"/>
        </w:rPr>
        <w:t>（一）财政资金收入情况</w:t>
      </w:r>
      <w:r>
        <w:rPr>
          <w:rFonts w:hint="eastAsia" w:ascii="仿宋_GB2312" w:hAnsi="宋体" w:eastAsia="仿宋_GB2312" w:cs="宋体"/>
          <w:color w:val="2A2A2A"/>
          <w:sz w:val="32"/>
          <w:szCs w:val="32"/>
        </w:rPr>
        <w:t>。</w:t>
      </w:r>
    </w:p>
    <w:p>
      <w:pPr>
        <w:pStyle w:val="13"/>
        <w:widowControl/>
        <w:spacing w:line="640" w:lineRule="exact"/>
        <w:ind w:firstLine="784" w:firstLineChars="245"/>
        <w:rPr>
          <w:rFonts w:hint="eastAsia" w:ascii="仿宋_GB2312" w:hAnsi="宋体" w:eastAsia="仿宋_GB2312" w:cs="宋体"/>
          <w:color w:val="2A2A2A"/>
          <w:sz w:val="32"/>
          <w:szCs w:val="32"/>
        </w:rPr>
      </w:pPr>
      <w:r>
        <w:rPr>
          <w:rFonts w:hint="eastAsia" w:ascii="仿宋_GB2312" w:hAnsi="宋体" w:eastAsia="仿宋_GB2312" w:cs="宋体"/>
          <w:color w:val="2A2A2A"/>
          <w:sz w:val="32"/>
          <w:szCs w:val="32"/>
        </w:rPr>
        <w:t>20</w:t>
      </w:r>
      <w:r>
        <w:rPr>
          <w:rFonts w:hint="eastAsia" w:ascii="仿宋_GB2312" w:hAnsi="宋体" w:eastAsia="仿宋_GB2312" w:cs="宋体"/>
          <w:color w:val="2A2A2A"/>
          <w:sz w:val="32"/>
          <w:szCs w:val="32"/>
          <w:lang w:val="en-US" w:eastAsia="zh-CN"/>
        </w:rPr>
        <w:t>20</w:t>
      </w:r>
      <w:r>
        <w:rPr>
          <w:rFonts w:hint="eastAsia" w:ascii="仿宋_GB2312" w:hAnsi="宋体" w:eastAsia="仿宋_GB2312" w:cs="宋体"/>
          <w:color w:val="2A2A2A"/>
          <w:sz w:val="32"/>
          <w:szCs w:val="32"/>
        </w:rPr>
        <w:t>年我院</w:t>
      </w:r>
      <w:r>
        <w:rPr>
          <w:rFonts w:hint="eastAsia" w:ascii="仿宋_GB2312" w:hAnsi="宋体" w:eastAsia="仿宋_GB2312" w:cs="宋体"/>
          <w:color w:val="2A2A2A"/>
          <w:sz w:val="32"/>
          <w:szCs w:val="32"/>
          <w:lang w:val="en-US" w:eastAsia="zh-CN"/>
        </w:rPr>
        <w:t>中央对地方专项转移支付（中央政法纪检监察转移支付资金）预算</w:t>
      </w:r>
      <w:r>
        <w:rPr>
          <w:rFonts w:hint="eastAsia" w:ascii="仿宋_GB2312" w:hAnsi="宋体" w:eastAsia="仿宋_GB2312" w:cs="宋体"/>
          <w:color w:val="2A2A2A"/>
          <w:sz w:val="32"/>
          <w:szCs w:val="32"/>
        </w:rPr>
        <w:t>总收入为：</w:t>
      </w:r>
      <w:r>
        <w:rPr>
          <w:rFonts w:hint="eastAsia" w:ascii="仿宋_GB2312" w:hAnsi="宋体" w:eastAsia="仿宋_GB2312" w:cs="宋体"/>
          <w:color w:val="2A2A2A"/>
          <w:sz w:val="32"/>
          <w:szCs w:val="32"/>
          <w:lang w:val="en-US" w:eastAsia="zh-CN"/>
        </w:rPr>
        <w:t>309</w:t>
      </w:r>
      <w:r>
        <w:rPr>
          <w:rFonts w:hint="eastAsia" w:ascii="仿宋_GB2312" w:hAnsi="宋体" w:eastAsia="仿宋_GB2312" w:cs="宋体"/>
          <w:color w:val="2A2A2A"/>
          <w:sz w:val="32"/>
          <w:szCs w:val="32"/>
        </w:rPr>
        <w:t>万元。</w:t>
      </w:r>
    </w:p>
    <w:p>
      <w:pPr>
        <w:pStyle w:val="13"/>
        <w:widowControl/>
        <w:spacing w:line="640" w:lineRule="exact"/>
        <w:ind w:firstLine="784" w:firstLineChars="245"/>
        <w:rPr>
          <w:rFonts w:hint="eastAsia" w:ascii="仿宋_GB2312" w:hAnsi="宋体" w:eastAsia="仿宋_GB2312" w:cs="宋体"/>
          <w:color w:val="2A2A2A"/>
          <w:sz w:val="32"/>
          <w:szCs w:val="32"/>
        </w:rPr>
      </w:pPr>
      <w:r>
        <w:rPr>
          <w:rFonts w:hint="eastAsia" w:ascii="仿宋_GB2312" w:hAnsi="宋体" w:eastAsia="仿宋_GB2312" w:cs="宋体"/>
          <w:color w:val="2A2A2A"/>
          <w:sz w:val="32"/>
          <w:szCs w:val="32"/>
        </w:rPr>
        <w:t>20</w:t>
      </w:r>
      <w:r>
        <w:rPr>
          <w:rFonts w:hint="eastAsia" w:ascii="仿宋_GB2312" w:hAnsi="宋体" w:eastAsia="仿宋_GB2312" w:cs="宋体"/>
          <w:color w:val="2A2A2A"/>
          <w:sz w:val="32"/>
          <w:szCs w:val="32"/>
          <w:lang w:val="en-US" w:eastAsia="zh-CN"/>
        </w:rPr>
        <w:t>21</w:t>
      </w:r>
      <w:r>
        <w:rPr>
          <w:rFonts w:hint="eastAsia" w:ascii="仿宋_GB2312" w:hAnsi="宋体" w:eastAsia="仿宋_GB2312" w:cs="宋体"/>
          <w:color w:val="2A2A2A"/>
          <w:sz w:val="32"/>
          <w:szCs w:val="32"/>
        </w:rPr>
        <w:t>年我院</w:t>
      </w:r>
      <w:r>
        <w:rPr>
          <w:rFonts w:hint="eastAsia" w:ascii="仿宋_GB2312" w:hAnsi="宋体" w:eastAsia="仿宋_GB2312" w:cs="宋体"/>
          <w:color w:val="2A2A2A"/>
          <w:sz w:val="32"/>
          <w:szCs w:val="32"/>
          <w:lang w:val="en-US" w:eastAsia="zh-CN"/>
        </w:rPr>
        <w:t>中央对地方专项转移支付（中央政法纪检监察转移支付资金）预算</w:t>
      </w:r>
      <w:r>
        <w:rPr>
          <w:rFonts w:hint="eastAsia" w:ascii="仿宋_GB2312" w:hAnsi="宋体" w:eastAsia="仿宋_GB2312" w:cs="宋体"/>
          <w:color w:val="2A2A2A"/>
          <w:sz w:val="32"/>
          <w:szCs w:val="32"/>
        </w:rPr>
        <w:t>总收入为：</w:t>
      </w:r>
      <w:r>
        <w:rPr>
          <w:rFonts w:hint="eastAsia" w:ascii="仿宋_GB2312" w:hAnsi="宋体" w:eastAsia="仿宋_GB2312" w:cs="宋体"/>
          <w:color w:val="2A2A2A"/>
          <w:sz w:val="32"/>
          <w:szCs w:val="32"/>
          <w:lang w:val="en-US" w:eastAsia="zh-CN"/>
        </w:rPr>
        <w:t>273</w:t>
      </w:r>
      <w:r>
        <w:rPr>
          <w:rFonts w:hint="eastAsia" w:ascii="仿宋_GB2312" w:hAnsi="宋体" w:eastAsia="仿宋_GB2312" w:cs="宋体"/>
          <w:color w:val="2A2A2A"/>
          <w:sz w:val="32"/>
          <w:szCs w:val="32"/>
        </w:rPr>
        <w:t>万元。</w:t>
      </w:r>
    </w:p>
    <w:p>
      <w:pPr>
        <w:pStyle w:val="13"/>
        <w:widowControl/>
        <w:spacing w:line="640" w:lineRule="exact"/>
        <w:ind w:firstLine="630" w:firstLineChars="196"/>
        <w:rPr>
          <w:rFonts w:hint="eastAsia" w:ascii="仿宋_GB2312" w:hAnsi="宋体" w:eastAsia="仿宋_GB2312" w:cs="宋体"/>
          <w:b/>
          <w:color w:val="2A2A2A"/>
          <w:sz w:val="32"/>
          <w:szCs w:val="32"/>
        </w:rPr>
      </w:pPr>
      <w:r>
        <w:rPr>
          <w:rFonts w:hint="eastAsia" w:ascii="仿宋_GB2312" w:hAnsi="宋体" w:eastAsia="仿宋_GB2312" w:cs="宋体"/>
          <w:b/>
          <w:color w:val="2A2A2A"/>
          <w:sz w:val="32"/>
          <w:szCs w:val="32"/>
        </w:rPr>
        <w:t>（二）财政资金支出情况。</w:t>
      </w:r>
    </w:p>
    <w:p>
      <w:pPr>
        <w:pStyle w:val="13"/>
        <w:widowControl/>
        <w:spacing w:line="640" w:lineRule="exact"/>
        <w:ind w:firstLine="627" w:firstLineChars="196"/>
        <w:rPr>
          <w:rFonts w:hint="default" w:ascii="仿宋_GB2312" w:hAnsi="宋体" w:eastAsia="仿宋_GB2312" w:cs="宋体"/>
          <w:color w:val="2A2A2A"/>
          <w:sz w:val="32"/>
          <w:szCs w:val="32"/>
          <w:lang w:val="en-US" w:eastAsia="zh-CN"/>
        </w:rPr>
      </w:pPr>
      <w:r>
        <w:rPr>
          <w:rFonts w:hint="eastAsia" w:ascii="仿宋_GB2312" w:hAnsi="宋体" w:eastAsia="仿宋_GB2312" w:cs="宋体"/>
          <w:color w:val="2A2A2A"/>
          <w:sz w:val="32"/>
          <w:szCs w:val="32"/>
          <w:lang w:val="en-US" w:eastAsia="zh-CN"/>
        </w:rPr>
        <w:t>2020</w:t>
      </w:r>
      <w:r>
        <w:rPr>
          <w:rFonts w:hint="eastAsia" w:ascii="仿宋_GB2312" w:hAnsi="宋体" w:eastAsia="仿宋_GB2312" w:cs="宋体"/>
          <w:color w:val="2A2A2A"/>
          <w:sz w:val="32"/>
          <w:szCs w:val="32"/>
        </w:rPr>
        <w:t>年我院</w:t>
      </w:r>
      <w:r>
        <w:rPr>
          <w:rFonts w:hint="eastAsia" w:ascii="仿宋_GB2312" w:hAnsi="宋体" w:eastAsia="仿宋_GB2312" w:cs="宋体"/>
          <w:color w:val="2A2A2A"/>
          <w:sz w:val="32"/>
          <w:szCs w:val="32"/>
          <w:lang w:val="en-US" w:eastAsia="zh-CN"/>
        </w:rPr>
        <w:t>中央对地方专项转移支付（中央政法纪检监察转移支付资金）</w:t>
      </w:r>
      <w:r>
        <w:rPr>
          <w:rFonts w:hint="eastAsia" w:ascii="仿宋_GB2312" w:hAnsi="宋体" w:eastAsia="仿宋_GB2312" w:cs="宋体"/>
          <w:color w:val="2A2A2A"/>
          <w:sz w:val="32"/>
          <w:szCs w:val="32"/>
        </w:rPr>
        <w:t>总支出为：</w:t>
      </w:r>
      <w:r>
        <w:rPr>
          <w:rFonts w:hint="eastAsia" w:ascii="仿宋_GB2312" w:hAnsi="宋体" w:eastAsia="仿宋_GB2312" w:cs="宋体"/>
          <w:color w:val="2A2A2A"/>
          <w:sz w:val="32"/>
          <w:szCs w:val="32"/>
          <w:lang w:val="en-US" w:eastAsia="zh-CN"/>
        </w:rPr>
        <w:t>82.51</w:t>
      </w:r>
      <w:r>
        <w:rPr>
          <w:rFonts w:hint="eastAsia" w:ascii="仿宋_GB2312" w:hAnsi="宋体" w:eastAsia="仿宋_GB2312" w:cs="宋体"/>
          <w:color w:val="2A2A2A"/>
          <w:sz w:val="32"/>
          <w:szCs w:val="32"/>
        </w:rPr>
        <w:t>万元，其中</w:t>
      </w:r>
      <w:r>
        <w:rPr>
          <w:rFonts w:hint="eastAsia" w:ascii="仿宋_GB2312" w:hAnsi="宋体" w:eastAsia="仿宋_GB2312" w:cs="宋体"/>
          <w:color w:val="2A2A2A"/>
          <w:sz w:val="32"/>
          <w:szCs w:val="32"/>
          <w:lang w:eastAsia="zh-CN"/>
        </w:rPr>
        <w:t>：</w:t>
      </w:r>
      <w:r>
        <w:rPr>
          <w:rFonts w:hint="eastAsia" w:ascii="仿宋_GB2312" w:hAnsi="宋体" w:eastAsia="仿宋_GB2312" w:cs="宋体"/>
          <w:color w:val="2A2A2A"/>
          <w:sz w:val="32"/>
          <w:szCs w:val="32"/>
        </w:rPr>
        <w:t>阿州财行【2020】1号-关于下达2020年政法纪检监察转移支付资金的通知（办案业务经费）支出为</w:t>
      </w:r>
      <w:r>
        <w:rPr>
          <w:rFonts w:hint="eastAsia" w:ascii="仿宋_GB2312" w:hAnsi="宋体" w:eastAsia="仿宋_GB2312" w:cs="宋体"/>
          <w:color w:val="2A2A2A"/>
          <w:sz w:val="32"/>
          <w:szCs w:val="32"/>
          <w:lang w:val="en-US" w:eastAsia="zh-CN"/>
        </w:rPr>
        <w:t>82.51</w:t>
      </w:r>
      <w:r>
        <w:rPr>
          <w:rFonts w:hint="eastAsia" w:ascii="仿宋_GB2312" w:hAnsi="宋体" w:eastAsia="仿宋_GB2312" w:cs="宋体"/>
          <w:color w:val="2A2A2A"/>
          <w:sz w:val="32"/>
          <w:szCs w:val="32"/>
        </w:rPr>
        <w:t>万元。阿州财行【2020】1号—1-关于下达2020年政法纪检监察转移支付资金的通知（业务装备经费）</w:t>
      </w:r>
      <w:r>
        <w:rPr>
          <w:rFonts w:hint="eastAsia" w:ascii="仿宋_GB2312" w:hAnsi="宋体" w:eastAsia="仿宋_GB2312" w:cs="宋体"/>
          <w:color w:val="2A2A2A"/>
          <w:sz w:val="32"/>
          <w:szCs w:val="32"/>
          <w:lang w:val="en-US" w:eastAsia="zh-CN"/>
        </w:rPr>
        <w:t>支出59.18万元。</w:t>
      </w:r>
    </w:p>
    <w:p>
      <w:pPr>
        <w:pStyle w:val="13"/>
        <w:widowControl/>
        <w:spacing w:line="640" w:lineRule="exact"/>
        <w:ind w:firstLine="627" w:firstLineChars="196"/>
        <w:rPr>
          <w:rFonts w:hint="eastAsia" w:ascii="仿宋_GB2312" w:hAnsi="宋体" w:eastAsia="仿宋_GB2312" w:cs="宋体"/>
          <w:color w:val="2A2A2A"/>
          <w:sz w:val="32"/>
          <w:szCs w:val="32"/>
        </w:rPr>
      </w:pPr>
      <w:r>
        <w:rPr>
          <w:rFonts w:hint="eastAsia" w:ascii="仿宋_GB2312" w:hAnsi="宋体" w:eastAsia="仿宋_GB2312" w:cs="宋体"/>
          <w:color w:val="2A2A2A"/>
          <w:sz w:val="32"/>
          <w:szCs w:val="32"/>
          <w:lang w:val="en-US" w:eastAsia="zh-CN"/>
        </w:rPr>
        <w:t>2021</w:t>
      </w:r>
      <w:r>
        <w:rPr>
          <w:rFonts w:hint="eastAsia" w:ascii="仿宋_GB2312" w:hAnsi="宋体" w:eastAsia="仿宋_GB2312" w:cs="宋体"/>
          <w:color w:val="2A2A2A"/>
          <w:sz w:val="32"/>
          <w:szCs w:val="32"/>
        </w:rPr>
        <w:t>年我院</w:t>
      </w:r>
      <w:r>
        <w:rPr>
          <w:rFonts w:hint="eastAsia" w:ascii="仿宋_GB2312" w:hAnsi="宋体" w:eastAsia="仿宋_GB2312" w:cs="宋体"/>
          <w:color w:val="2A2A2A"/>
          <w:sz w:val="32"/>
          <w:szCs w:val="32"/>
          <w:lang w:val="en-US" w:eastAsia="zh-CN"/>
        </w:rPr>
        <w:t>中央对地方专项转移支付（中央政法纪检监察转移支付资金）</w:t>
      </w:r>
      <w:r>
        <w:rPr>
          <w:rFonts w:hint="eastAsia" w:ascii="仿宋_GB2312" w:hAnsi="宋体" w:eastAsia="仿宋_GB2312" w:cs="宋体"/>
          <w:color w:val="2A2A2A"/>
          <w:sz w:val="32"/>
          <w:szCs w:val="32"/>
        </w:rPr>
        <w:t>总支出为：</w:t>
      </w:r>
      <w:r>
        <w:rPr>
          <w:rFonts w:hint="eastAsia" w:ascii="仿宋_GB2312" w:hAnsi="宋体" w:eastAsia="仿宋_GB2312" w:cs="宋体"/>
          <w:color w:val="2A2A2A"/>
          <w:sz w:val="32"/>
          <w:szCs w:val="32"/>
          <w:lang w:val="en-US" w:eastAsia="zh-CN"/>
        </w:rPr>
        <w:t>0</w:t>
      </w:r>
      <w:r>
        <w:rPr>
          <w:rFonts w:hint="eastAsia" w:ascii="仿宋_GB2312" w:hAnsi="宋体" w:eastAsia="仿宋_GB2312" w:cs="宋体"/>
          <w:color w:val="2A2A2A"/>
          <w:sz w:val="32"/>
          <w:szCs w:val="32"/>
        </w:rPr>
        <w:t>万元。</w:t>
      </w:r>
    </w:p>
    <w:p>
      <w:pPr>
        <w:pStyle w:val="13"/>
        <w:widowControl/>
        <w:spacing w:line="640" w:lineRule="exact"/>
        <w:ind w:firstLine="630" w:firstLineChars="196"/>
        <w:rPr>
          <w:rFonts w:hint="eastAsia" w:ascii="宋体" w:hAnsi="宋体"/>
          <w:b/>
          <w:sz w:val="32"/>
          <w:szCs w:val="32"/>
        </w:rPr>
      </w:pPr>
      <w:r>
        <w:rPr>
          <w:rFonts w:hint="eastAsia" w:ascii="宋体" w:hAnsi="宋体" w:cs="宋体"/>
          <w:b/>
          <w:color w:val="2A2A2A"/>
          <w:sz w:val="32"/>
          <w:szCs w:val="32"/>
        </w:rPr>
        <w:t>三、支出管理情况</w:t>
      </w:r>
    </w:p>
    <w:p>
      <w:pPr>
        <w:pStyle w:val="13"/>
        <w:widowControl/>
        <w:spacing w:line="640" w:lineRule="exact"/>
        <w:ind w:firstLine="630" w:firstLineChars="196"/>
        <w:rPr>
          <w:rFonts w:hint="eastAsia" w:ascii="仿宋_GB2312" w:hAnsi="宋体" w:eastAsia="仿宋_GB2312" w:cs="宋体"/>
          <w:color w:val="2A2A2A"/>
          <w:sz w:val="32"/>
          <w:szCs w:val="32"/>
        </w:rPr>
      </w:pPr>
      <w:r>
        <w:rPr>
          <w:rFonts w:hint="eastAsia" w:ascii="仿宋_GB2312" w:hAnsi="宋体" w:eastAsia="仿宋_GB2312" w:cs="宋体"/>
          <w:b/>
          <w:color w:val="2A2A2A"/>
          <w:sz w:val="32"/>
          <w:szCs w:val="32"/>
        </w:rPr>
        <w:t>（一）预算编制情况</w:t>
      </w:r>
      <w:r>
        <w:rPr>
          <w:rFonts w:hint="eastAsia" w:ascii="仿宋_GB2312" w:hAnsi="宋体" w:eastAsia="仿宋_GB2312" w:cs="宋体"/>
          <w:color w:val="2A2A2A"/>
          <w:sz w:val="32"/>
          <w:szCs w:val="32"/>
        </w:rPr>
        <w:t>。</w:t>
      </w:r>
    </w:p>
    <w:p>
      <w:pPr>
        <w:pStyle w:val="13"/>
        <w:widowControl/>
        <w:spacing w:line="640" w:lineRule="exact"/>
        <w:ind w:firstLine="800" w:firstLineChars="250"/>
        <w:rPr>
          <w:rFonts w:hint="eastAsia" w:ascii="仿宋_GB2312" w:eastAsia="仿宋_GB2312"/>
          <w:sz w:val="32"/>
          <w:szCs w:val="32"/>
        </w:rPr>
      </w:pPr>
      <w:r>
        <w:rPr>
          <w:rFonts w:hint="eastAsia" w:ascii="仿宋_GB2312" w:hAnsi="宋体" w:eastAsia="仿宋_GB2312" w:cs="宋体"/>
          <w:color w:val="2A2A2A"/>
          <w:sz w:val="32"/>
          <w:szCs w:val="32"/>
          <w:lang w:val="en-US" w:eastAsia="zh-CN"/>
        </w:rPr>
        <w:t>1</w:t>
      </w:r>
      <w:r>
        <w:rPr>
          <w:rFonts w:hint="eastAsia" w:ascii="仿宋_GB2312" w:hAnsi="宋体" w:eastAsia="仿宋_GB2312" w:cs="宋体"/>
          <w:color w:val="2A2A2A"/>
          <w:sz w:val="32"/>
          <w:szCs w:val="32"/>
        </w:rPr>
        <w:t xml:space="preserve">. </w:t>
      </w:r>
      <w:r>
        <w:rPr>
          <w:rFonts w:hint="eastAsia" w:ascii="仿宋_GB2312" w:hAnsi="宋体" w:eastAsia="仿宋_GB2312" w:cs="宋体"/>
          <w:color w:val="2A2A2A"/>
          <w:sz w:val="32"/>
          <w:szCs w:val="32"/>
          <w:lang w:val="en-US" w:eastAsia="zh-CN"/>
        </w:rPr>
        <w:t>2020</w:t>
      </w:r>
      <w:r>
        <w:rPr>
          <w:rFonts w:hint="eastAsia" w:ascii="仿宋_GB2312" w:hAnsi="宋体" w:eastAsia="仿宋_GB2312" w:cs="宋体"/>
          <w:color w:val="2A2A2A"/>
          <w:sz w:val="32"/>
          <w:szCs w:val="32"/>
        </w:rPr>
        <w:t>年我院</w:t>
      </w:r>
      <w:r>
        <w:rPr>
          <w:rFonts w:hint="eastAsia" w:ascii="仿宋_GB2312" w:hAnsi="宋体" w:eastAsia="仿宋_GB2312" w:cs="宋体"/>
          <w:color w:val="2A2A2A"/>
          <w:sz w:val="32"/>
          <w:szCs w:val="32"/>
          <w:lang w:val="en-US" w:eastAsia="zh-CN"/>
        </w:rPr>
        <w:t>中央对地方专项转移支付（中央政法纪检监察转移支付资金）</w:t>
      </w:r>
      <w:r>
        <w:rPr>
          <w:rFonts w:hint="eastAsia" w:ascii="仿宋_GB2312" w:hAnsi="宋体" w:eastAsia="仿宋_GB2312" w:cs="宋体"/>
          <w:color w:val="2A2A2A"/>
          <w:sz w:val="32"/>
          <w:szCs w:val="32"/>
        </w:rPr>
        <w:t>预算总收入为</w:t>
      </w:r>
      <w:r>
        <w:rPr>
          <w:rFonts w:hint="eastAsia" w:ascii="仿宋_GB2312" w:hAnsi="宋体" w:eastAsia="仿宋_GB2312" w:cs="宋体"/>
          <w:color w:val="2A2A2A"/>
          <w:sz w:val="32"/>
          <w:szCs w:val="32"/>
          <w:lang w:val="en-US" w:eastAsia="zh-CN"/>
        </w:rPr>
        <w:t>309</w:t>
      </w:r>
      <w:r>
        <w:rPr>
          <w:rFonts w:hint="eastAsia" w:ascii="仿宋_GB2312" w:hAnsi="宋体" w:eastAsia="仿宋_GB2312" w:cs="宋体"/>
          <w:color w:val="2A2A2A"/>
          <w:sz w:val="32"/>
          <w:szCs w:val="32"/>
        </w:rPr>
        <w:t>万元。</w:t>
      </w:r>
    </w:p>
    <w:p>
      <w:pPr>
        <w:pStyle w:val="13"/>
        <w:widowControl/>
        <w:spacing w:line="640" w:lineRule="exact"/>
        <w:ind w:firstLine="627" w:firstLineChars="196"/>
        <w:rPr>
          <w:rFonts w:hint="eastAsia" w:ascii="仿宋_GB2312" w:hAnsi="宋体" w:eastAsia="仿宋_GB2312" w:cs="宋体"/>
          <w:color w:val="2A2A2A"/>
          <w:sz w:val="32"/>
          <w:szCs w:val="32"/>
        </w:rPr>
      </w:pPr>
      <w:r>
        <w:rPr>
          <w:rFonts w:hint="eastAsia" w:ascii="仿宋_GB2312" w:hAnsi="宋体" w:eastAsia="仿宋_GB2312" w:cs="宋体"/>
          <w:color w:val="2A2A2A"/>
          <w:sz w:val="32"/>
          <w:szCs w:val="32"/>
        </w:rPr>
        <w:t>（1）</w:t>
      </w:r>
      <w:r>
        <w:rPr>
          <w:rFonts w:hint="eastAsia" w:ascii="仿宋_GB2312" w:hAnsi="宋体" w:eastAsia="仿宋_GB2312" w:cs="宋体"/>
          <w:color w:val="2A2A2A"/>
          <w:sz w:val="32"/>
          <w:szCs w:val="32"/>
          <w:lang w:val="en-US" w:eastAsia="zh-CN"/>
        </w:rPr>
        <w:t>2020</w:t>
      </w:r>
      <w:r>
        <w:rPr>
          <w:rFonts w:hint="eastAsia" w:ascii="仿宋_GB2312" w:hAnsi="宋体" w:eastAsia="仿宋_GB2312" w:cs="宋体"/>
          <w:color w:val="2A2A2A"/>
          <w:sz w:val="32"/>
          <w:szCs w:val="32"/>
        </w:rPr>
        <w:t>年我院</w:t>
      </w:r>
      <w:r>
        <w:rPr>
          <w:rFonts w:hint="eastAsia" w:ascii="仿宋_GB2312" w:hAnsi="宋体" w:eastAsia="仿宋_GB2312" w:cs="宋体"/>
          <w:color w:val="2A2A2A"/>
          <w:sz w:val="32"/>
          <w:szCs w:val="32"/>
          <w:lang w:val="en-US" w:eastAsia="zh-CN"/>
        </w:rPr>
        <w:t>中央对地方专项转移支付（中央政法纪检监察转移支付资金）办案业务经费</w:t>
      </w:r>
      <w:r>
        <w:rPr>
          <w:rFonts w:hint="eastAsia" w:ascii="仿宋_GB2312" w:hAnsi="宋体" w:eastAsia="仿宋_GB2312" w:cs="宋体"/>
          <w:color w:val="2A2A2A"/>
          <w:sz w:val="32"/>
          <w:szCs w:val="32"/>
        </w:rPr>
        <w:t>预算为：</w:t>
      </w:r>
      <w:r>
        <w:rPr>
          <w:rFonts w:hint="default" w:ascii="仿宋_GB2312" w:hAnsi="宋体" w:eastAsia="仿宋_GB2312" w:cs="宋体"/>
          <w:color w:val="2A2A2A"/>
          <w:sz w:val="32"/>
          <w:szCs w:val="32"/>
          <w:lang w:eastAsia="zh-CN"/>
        </w:rPr>
        <w:t>179</w:t>
      </w:r>
      <w:r>
        <w:rPr>
          <w:rFonts w:hint="eastAsia" w:ascii="仿宋_GB2312" w:hAnsi="宋体" w:eastAsia="仿宋_GB2312" w:cs="宋体"/>
          <w:color w:val="2A2A2A"/>
          <w:sz w:val="32"/>
          <w:szCs w:val="32"/>
        </w:rPr>
        <w:t>万元。</w:t>
      </w:r>
    </w:p>
    <w:p>
      <w:pPr>
        <w:pStyle w:val="13"/>
        <w:widowControl/>
        <w:spacing w:line="640" w:lineRule="exact"/>
        <w:ind w:firstLine="627" w:firstLineChars="196"/>
        <w:rPr>
          <w:rFonts w:hint="eastAsia" w:ascii="仿宋_GB2312" w:hAnsi="宋体" w:eastAsia="仿宋_GB2312" w:cs="宋体"/>
          <w:color w:val="2A2A2A"/>
          <w:sz w:val="32"/>
          <w:szCs w:val="32"/>
          <w:lang w:val="en-US" w:eastAsia="zh-CN"/>
        </w:rPr>
      </w:pPr>
      <w:r>
        <w:rPr>
          <w:rFonts w:hint="eastAsia" w:ascii="仿宋_GB2312" w:eastAsia="仿宋_GB2312"/>
          <w:sz w:val="32"/>
          <w:szCs w:val="32"/>
        </w:rPr>
        <w:t>（2）</w:t>
      </w:r>
      <w:r>
        <w:rPr>
          <w:rFonts w:hint="eastAsia" w:ascii="仿宋_GB2312" w:hAnsi="宋体" w:eastAsia="仿宋_GB2312" w:cs="宋体"/>
          <w:color w:val="2A2A2A"/>
          <w:sz w:val="32"/>
          <w:szCs w:val="32"/>
          <w:lang w:val="en-US" w:eastAsia="zh-CN"/>
        </w:rPr>
        <w:t>202</w:t>
      </w:r>
      <w:r>
        <w:rPr>
          <w:rFonts w:hint="default" w:ascii="仿宋_GB2312" w:hAnsi="宋体" w:eastAsia="仿宋_GB2312" w:cs="宋体"/>
          <w:color w:val="2A2A2A"/>
          <w:sz w:val="32"/>
          <w:szCs w:val="32"/>
          <w:lang w:eastAsia="zh-CN"/>
        </w:rPr>
        <w:t>0</w:t>
      </w:r>
      <w:r>
        <w:rPr>
          <w:rFonts w:hint="eastAsia" w:ascii="仿宋_GB2312" w:hAnsi="宋体" w:eastAsia="仿宋_GB2312" w:cs="宋体"/>
          <w:color w:val="2A2A2A"/>
          <w:sz w:val="32"/>
          <w:szCs w:val="32"/>
        </w:rPr>
        <w:t>年我院</w:t>
      </w:r>
      <w:r>
        <w:rPr>
          <w:rFonts w:hint="eastAsia" w:ascii="仿宋_GB2312" w:hAnsi="宋体" w:eastAsia="仿宋_GB2312" w:cs="宋体"/>
          <w:color w:val="2A2A2A"/>
          <w:sz w:val="32"/>
          <w:szCs w:val="32"/>
          <w:lang w:val="en-US" w:eastAsia="zh-CN"/>
        </w:rPr>
        <w:t>中央对地方专项转移支付（中央政法纪检监察转移支付资金）办案业务装备费预算为</w:t>
      </w:r>
      <w:r>
        <w:rPr>
          <w:rFonts w:hint="default" w:ascii="仿宋_GB2312" w:hAnsi="宋体" w:eastAsia="仿宋_GB2312" w:cs="宋体"/>
          <w:color w:val="2A2A2A"/>
          <w:sz w:val="32"/>
          <w:szCs w:val="32"/>
          <w:lang w:eastAsia="zh-CN"/>
        </w:rPr>
        <w:t>120</w:t>
      </w:r>
      <w:r>
        <w:rPr>
          <w:rFonts w:hint="eastAsia" w:ascii="仿宋_GB2312" w:hAnsi="宋体" w:eastAsia="仿宋_GB2312" w:cs="宋体"/>
          <w:color w:val="2A2A2A"/>
          <w:sz w:val="32"/>
          <w:szCs w:val="32"/>
        </w:rPr>
        <w:t>万元。</w:t>
      </w:r>
      <w:r>
        <w:rPr>
          <w:rFonts w:hint="eastAsia" w:ascii="仿宋_GB2312" w:hAnsi="宋体" w:eastAsia="仿宋_GB2312" w:cs="宋体"/>
          <w:color w:val="2A2A2A"/>
          <w:sz w:val="32"/>
          <w:szCs w:val="32"/>
          <w:lang w:val="en-US" w:eastAsia="zh-CN"/>
        </w:rPr>
        <w:t xml:space="preserve">                     </w:t>
      </w:r>
    </w:p>
    <w:p>
      <w:pPr>
        <w:pStyle w:val="13"/>
        <w:widowControl/>
        <w:spacing w:line="640" w:lineRule="exact"/>
        <w:ind w:firstLine="627" w:firstLineChars="196"/>
        <w:rPr>
          <w:rFonts w:hint="eastAsia" w:ascii="仿宋_GB2312" w:hAnsi="宋体" w:eastAsia="仿宋_GB2312" w:cs="宋体"/>
          <w:color w:val="2A2A2A"/>
          <w:sz w:val="32"/>
          <w:szCs w:val="32"/>
        </w:rPr>
      </w:pPr>
      <w:r>
        <w:rPr>
          <w:rFonts w:hint="eastAsia" w:ascii="仿宋_GB2312" w:eastAsia="仿宋_GB2312"/>
          <w:sz w:val="32"/>
          <w:szCs w:val="32"/>
        </w:rPr>
        <w:t>（</w:t>
      </w:r>
      <w:r>
        <w:rPr>
          <w:rFonts w:hint="eastAsia" w:ascii="仿宋_GB2312" w:eastAsia="仿宋_GB2312"/>
          <w:sz w:val="32"/>
          <w:szCs w:val="32"/>
          <w:lang w:val="en-US" w:eastAsia="zh-CN"/>
        </w:rPr>
        <w:t>3</w:t>
      </w:r>
      <w:r>
        <w:rPr>
          <w:rFonts w:hint="eastAsia" w:ascii="仿宋_GB2312" w:eastAsia="仿宋_GB2312"/>
          <w:sz w:val="32"/>
          <w:szCs w:val="32"/>
        </w:rPr>
        <w:t>）</w:t>
      </w:r>
      <w:r>
        <w:rPr>
          <w:rFonts w:hint="eastAsia" w:ascii="仿宋_GB2312" w:hAnsi="宋体" w:eastAsia="仿宋_GB2312" w:cs="宋体"/>
          <w:color w:val="2A2A2A"/>
          <w:sz w:val="32"/>
          <w:szCs w:val="32"/>
          <w:lang w:val="en-US" w:eastAsia="zh-CN"/>
        </w:rPr>
        <w:t>20</w:t>
      </w:r>
      <w:r>
        <w:rPr>
          <w:rFonts w:hint="default" w:ascii="仿宋_GB2312" w:hAnsi="宋体" w:eastAsia="仿宋_GB2312" w:cs="宋体"/>
          <w:color w:val="2A2A2A"/>
          <w:sz w:val="32"/>
          <w:szCs w:val="32"/>
          <w:lang w:eastAsia="zh-CN"/>
        </w:rPr>
        <w:t>20</w:t>
      </w:r>
      <w:r>
        <w:rPr>
          <w:rFonts w:hint="eastAsia" w:ascii="仿宋_GB2312" w:hAnsi="宋体" w:eastAsia="仿宋_GB2312" w:cs="宋体"/>
          <w:color w:val="2A2A2A"/>
          <w:sz w:val="32"/>
          <w:szCs w:val="32"/>
        </w:rPr>
        <w:t>年我院</w:t>
      </w:r>
      <w:r>
        <w:rPr>
          <w:rFonts w:hint="eastAsia" w:ascii="仿宋_GB2312" w:hAnsi="宋体" w:eastAsia="仿宋_GB2312" w:cs="宋体"/>
          <w:color w:val="2A2A2A"/>
          <w:sz w:val="32"/>
          <w:szCs w:val="32"/>
          <w:lang w:val="en-US" w:eastAsia="zh-CN"/>
        </w:rPr>
        <w:t>中央对地方专项转移支付（中央政法纪检监察转移支付资金）扫黑除恶因素专项经费预算为</w:t>
      </w:r>
      <w:r>
        <w:rPr>
          <w:rFonts w:hint="default" w:ascii="仿宋_GB2312" w:hAnsi="宋体" w:eastAsia="仿宋_GB2312" w:cs="宋体"/>
          <w:color w:val="2A2A2A"/>
          <w:sz w:val="32"/>
          <w:szCs w:val="32"/>
          <w:lang w:eastAsia="zh-CN"/>
        </w:rPr>
        <w:t>3</w:t>
      </w:r>
      <w:r>
        <w:rPr>
          <w:rFonts w:hint="eastAsia" w:ascii="仿宋_GB2312" w:hAnsi="宋体" w:eastAsia="仿宋_GB2312" w:cs="宋体"/>
          <w:color w:val="2A2A2A"/>
          <w:sz w:val="32"/>
          <w:szCs w:val="32"/>
        </w:rPr>
        <w:t>万元。</w:t>
      </w:r>
    </w:p>
    <w:p>
      <w:pPr>
        <w:pStyle w:val="13"/>
        <w:widowControl/>
        <w:spacing w:line="640" w:lineRule="exact"/>
        <w:ind w:firstLine="640" w:firstLineChars="200"/>
        <w:rPr>
          <w:rFonts w:hint="eastAsia" w:ascii="仿宋_GB2312" w:hAnsi="宋体" w:eastAsia="仿宋_GB2312" w:cs="宋体"/>
          <w:color w:val="2A2A2A"/>
          <w:sz w:val="32"/>
          <w:szCs w:val="32"/>
        </w:rPr>
      </w:pPr>
      <w:r>
        <w:rPr>
          <w:rFonts w:hint="eastAsia" w:ascii="仿宋_GB2312" w:eastAsia="仿宋_GB2312"/>
          <w:sz w:val="32"/>
          <w:szCs w:val="32"/>
        </w:rPr>
        <w:t>（</w:t>
      </w:r>
      <w:r>
        <w:rPr>
          <w:rFonts w:hint="eastAsia" w:ascii="仿宋_GB2312" w:eastAsia="仿宋_GB2312"/>
          <w:sz w:val="32"/>
          <w:szCs w:val="32"/>
          <w:lang w:val="en-US" w:eastAsia="zh-CN"/>
        </w:rPr>
        <w:t>4</w:t>
      </w:r>
      <w:r>
        <w:rPr>
          <w:rFonts w:hint="eastAsia" w:ascii="仿宋_GB2312" w:eastAsia="仿宋_GB2312"/>
          <w:sz w:val="32"/>
          <w:szCs w:val="32"/>
        </w:rPr>
        <w:t>）</w:t>
      </w:r>
      <w:r>
        <w:rPr>
          <w:rFonts w:hint="default" w:ascii="仿宋_GB2312" w:hAnsi="宋体" w:eastAsia="仿宋_GB2312" w:cs="宋体"/>
          <w:color w:val="2A2A2A"/>
          <w:sz w:val="32"/>
          <w:szCs w:val="32"/>
          <w:lang w:eastAsia="zh-CN"/>
        </w:rPr>
        <w:t>2020</w:t>
      </w:r>
      <w:r>
        <w:rPr>
          <w:rFonts w:hint="eastAsia" w:ascii="仿宋_GB2312" w:hAnsi="宋体" w:eastAsia="仿宋_GB2312" w:cs="宋体"/>
          <w:color w:val="2A2A2A"/>
          <w:sz w:val="32"/>
          <w:szCs w:val="32"/>
        </w:rPr>
        <w:t>年我院</w:t>
      </w:r>
      <w:r>
        <w:rPr>
          <w:rFonts w:hint="eastAsia" w:ascii="仿宋_GB2312" w:hAnsi="宋体" w:eastAsia="仿宋_GB2312" w:cs="宋体"/>
          <w:color w:val="2A2A2A"/>
          <w:sz w:val="32"/>
          <w:szCs w:val="32"/>
          <w:lang w:val="en-US" w:eastAsia="zh-CN"/>
        </w:rPr>
        <w:t>中央对地方专项转移支付（中央政法纪检监察转移支付资金）</w:t>
      </w:r>
      <w:r>
        <w:rPr>
          <w:rFonts w:hint="default" w:ascii="仿宋_GB2312" w:hAnsi="宋体" w:eastAsia="仿宋_GB2312" w:cs="宋体"/>
          <w:color w:val="2A2A2A"/>
          <w:sz w:val="32"/>
          <w:szCs w:val="32"/>
          <w:lang w:eastAsia="zh-CN"/>
        </w:rPr>
        <w:t>新冠防控</w:t>
      </w:r>
      <w:r>
        <w:rPr>
          <w:rFonts w:hint="eastAsia" w:ascii="仿宋_GB2312" w:hAnsi="宋体" w:eastAsia="仿宋_GB2312" w:cs="宋体"/>
          <w:color w:val="2A2A2A"/>
          <w:sz w:val="32"/>
          <w:szCs w:val="32"/>
          <w:lang w:val="en-US" w:eastAsia="zh-CN"/>
        </w:rPr>
        <w:t>因素专项经费预算为</w:t>
      </w:r>
      <w:r>
        <w:rPr>
          <w:rFonts w:hint="default" w:ascii="仿宋_GB2312" w:hAnsi="宋体" w:eastAsia="仿宋_GB2312" w:cs="宋体"/>
          <w:color w:val="2A2A2A"/>
          <w:sz w:val="32"/>
          <w:szCs w:val="32"/>
          <w:lang w:eastAsia="zh-CN"/>
        </w:rPr>
        <w:t>7</w:t>
      </w:r>
      <w:r>
        <w:rPr>
          <w:rFonts w:hint="eastAsia" w:ascii="仿宋_GB2312" w:hAnsi="宋体" w:eastAsia="仿宋_GB2312" w:cs="宋体"/>
          <w:color w:val="2A2A2A"/>
          <w:sz w:val="32"/>
          <w:szCs w:val="32"/>
        </w:rPr>
        <w:t>万元。</w:t>
      </w:r>
    </w:p>
    <w:p>
      <w:pPr>
        <w:pStyle w:val="13"/>
        <w:widowControl/>
        <w:spacing w:line="640" w:lineRule="exact"/>
        <w:ind w:firstLine="800" w:firstLineChars="250"/>
        <w:rPr>
          <w:rFonts w:hint="eastAsia" w:ascii="仿宋_GB2312" w:eastAsia="仿宋_GB2312"/>
          <w:sz w:val="32"/>
          <w:szCs w:val="32"/>
        </w:rPr>
      </w:pPr>
      <w:r>
        <w:rPr>
          <w:rFonts w:hint="default" w:ascii="仿宋_GB2312" w:hAnsi="宋体" w:eastAsia="仿宋_GB2312" w:cs="宋体"/>
          <w:color w:val="2A2A2A"/>
          <w:sz w:val="32"/>
          <w:szCs w:val="32"/>
        </w:rPr>
        <w:t>2</w:t>
      </w:r>
      <w:r>
        <w:rPr>
          <w:rFonts w:hint="eastAsia" w:ascii="仿宋_GB2312" w:hAnsi="宋体" w:eastAsia="仿宋_GB2312" w:cs="宋体"/>
          <w:color w:val="2A2A2A"/>
          <w:sz w:val="32"/>
          <w:szCs w:val="32"/>
        </w:rPr>
        <w:t xml:space="preserve">. </w:t>
      </w:r>
      <w:r>
        <w:rPr>
          <w:rFonts w:hint="eastAsia" w:ascii="仿宋_GB2312" w:hAnsi="宋体" w:eastAsia="仿宋_GB2312" w:cs="宋体"/>
          <w:color w:val="2A2A2A"/>
          <w:sz w:val="32"/>
          <w:szCs w:val="32"/>
          <w:lang w:val="en-US" w:eastAsia="zh-CN"/>
        </w:rPr>
        <w:t>2021</w:t>
      </w:r>
      <w:r>
        <w:rPr>
          <w:rFonts w:hint="eastAsia" w:ascii="仿宋_GB2312" w:hAnsi="宋体" w:eastAsia="仿宋_GB2312" w:cs="宋体"/>
          <w:color w:val="2A2A2A"/>
          <w:sz w:val="32"/>
          <w:szCs w:val="32"/>
        </w:rPr>
        <w:t>年我院</w:t>
      </w:r>
      <w:r>
        <w:rPr>
          <w:rFonts w:hint="eastAsia" w:ascii="仿宋_GB2312" w:hAnsi="宋体" w:eastAsia="仿宋_GB2312" w:cs="宋体"/>
          <w:color w:val="2A2A2A"/>
          <w:sz w:val="32"/>
          <w:szCs w:val="32"/>
          <w:lang w:val="en-US" w:eastAsia="zh-CN"/>
        </w:rPr>
        <w:t>中央对地方专项转移支付（中央政法纪检监察转移支付资金）</w:t>
      </w:r>
      <w:r>
        <w:rPr>
          <w:rFonts w:hint="eastAsia" w:ascii="仿宋_GB2312" w:hAnsi="宋体" w:eastAsia="仿宋_GB2312" w:cs="宋体"/>
          <w:color w:val="2A2A2A"/>
          <w:sz w:val="32"/>
          <w:szCs w:val="32"/>
        </w:rPr>
        <w:t>预算总收入为</w:t>
      </w:r>
      <w:r>
        <w:rPr>
          <w:rFonts w:hint="eastAsia" w:ascii="仿宋_GB2312" w:hAnsi="宋体" w:eastAsia="仿宋_GB2312" w:cs="宋体"/>
          <w:color w:val="2A2A2A"/>
          <w:sz w:val="32"/>
          <w:szCs w:val="32"/>
          <w:lang w:val="en-US" w:eastAsia="zh-CN"/>
        </w:rPr>
        <w:t>273</w:t>
      </w:r>
      <w:r>
        <w:rPr>
          <w:rFonts w:hint="eastAsia" w:ascii="仿宋_GB2312" w:hAnsi="宋体" w:eastAsia="仿宋_GB2312" w:cs="宋体"/>
          <w:color w:val="2A2A2A"/>
          <w:sz w:val="32"/>
          <w:szCs w:val="32"/>
        </w:rPr>
        <w:t>万元。</w:t>
      </w:r>
    </w:p>
    <w:p>
      <w:pPr>
        <w:pStyle w:val="13"/>
        <w:widowControl/>
        <w:spacing w:line="640" w:lineRule="exact"/>
        <w:ind w:firstLine="627" w:firstLineChars="196"/>
        <w:rPr>
          <w:rFonts w:hint="eastAsia" w:ascii="仿宋_GB2312" w:hAnsi="宋体" w:eastAsia="仿宋_GB2312" w:cs="宋体"/>
          <w:color w:val="2A2A2A"/>
          <w:sz w:val="32"/>
          <w:szCs w:val="32"/>
        </w:rPr>
      </w:pPr>
      <w:r>
        <w:rPr>
          <w:rFonts w:hint="eastAsia" w:ascii="仿宋_GB2312" w:hAnsi="宋体" w:eastAsia="仿宋_GB2312" w:cs="宋体"/>
          <w:color w:val="2A2A2A"/>
          <w:sz w:val="32"/>
          <w:szCs w:val="32"/>
        </w:rPr>
        <w:t>（1）</w:t>
      </w:r>
      <w:r>
        <w:rPr>
          <w:rFonts w:hint="eastAsia" w:ascii="仿宋_GB2312" w:hAnsi="宋体" w:eastAsia="仿宋_GB2312" w:cs="宋体"/>
          <w:color w:val="2A2A2A"/>
          <w:sz w:val="32"/>
          <w:szCs w:val="32"/>
          <w:lang w:val="en-US" w:eastAsia="zh-CN"/>
        </w:rPr>
        <w:t>2021</w:t>
      </w:r>
      <w:r>
        <w:rPr>
          <w:rFonts w:hint="eastAsia" w:ascii="仿宋_GB2312" w:hAnsi="宋体" w:eastAsia="仿宋_GB2312" w:cs="宋体"/>
          <w:color w:val="2A2A2A"/>
          <w:sz w:val="32"/>
          <w:szCs w:val="32"/>
        </w:rPr>
        <w:t>年我院</w:t>
      </w:r>
      <w:r>
        <w:rPr>
          <w:rFonts w:hint="eastAsia" w:ascii="仿宋_GB2312" w:hAnsi="宋体" w:eastAsia="仿宋_GB2312" w:cs="宋体"/>
          <w:color w:val="2A2A2A"/>
          <w:sz w:val="32"/>
          <w:szCs w:val="32"/>
          <w:lang w:val="en-US" w:eastAsia="zh-CN"/>
        </w:rPr>
        <w:t>中央对地方专项转移支付（中央政法纪检监察转移支付资金）办案业务经费</w:t>
      </w:r>
      <w:r>
        <w:rPr>
          <w:rFonts w:hint="eastAsia" w:ascii="仿宋_GB2312" w:hAnsi="宋体" w:eastAsia="仿宋_GB2312" w:cs="宋体"/>
          <w:color w:val="2A2A2A"/>
          <w:sz w:val="32"/>
          <w:szCs w:val="32"/>
        </w:rPr>
        <w:t>预算为：</w:t>
      </w:r>
      <w:r>
        <w:rPr>
          <w:rFonts w:hint="eastAsia" w:ascii="仿宋_GB2312" w:hAnsi="宋体" w:eastAsia="仿宋_GB2312" w:cs="宋体"/>
          <w:color w:val="2A2A2A"/>
          <w:sz w:val="32"/>
          <w:szCs w:val="32"/>
          <w:lang w:val="en-US" w:eastAsia="zh-CN"/>
        </w:rPr>
        <w:t>113</w:t>
      </w:r>
      <w:r>
        <w:rPr>
          <w:rFonts w:hint="eastAsia" w:ascii="仿宋_GB2312" w:hAnsi="宋体" w:eastAsia="仿宋_GB2312" w:cs="宋体"/>
          <w:color w:val="2A2A2A"/>
          <w:sz w:val="32"/>
          <w:szCs w:val="32"/>
        </w:rPr>
        <w:t>万元。</w:t>
      </w:r>
    </w:p>
    <w:p>
      <w:pPr>
        <w:pStyle w:val="13"/>
        <w:widowControl/>
        <w:spacing w:line="640" w:lineRule="exact"/>
        <w:ind w:firstLine="627" w:firstLineChars="196"/>
        <w:rPr>
          <w:rFonts w:hint="eastAsia" w:ascii="仿宋_GB2312" w:hAnsi="宋体" w:eastAsia="仿宋_GB2312" w:cs="宋体"/>
          <w:color w:val="2A2A2A"/>
          <w:sz w:val="32"/>
          <w:szCs w:val="32"/>
          <w:lang w:val="en-US" w:eastAsia="zh-CN"/>
        </w:rPr>
      </w:pPr>
      <w:r>
        <w:rPr>
          <w:rFonts w:hint="eastAsia" w:ascii="仿宋_GB2312" w:eastAsia="仿宋_GB2312"/>
          <w:sz w:val="32"/>
          <w:szCs w:val="32"/>
        </w:rPr>
        <w:t>（2）</w:t>
      </w:r>
      <w:r>
        <w:rPr>
          <w:rFonts w:hint="eastAsia" w:ascii="仿宋_GB2312" w:hAnsi="宋体" w:eastAsia="仿宋_GB2312" w:cs="宋体"/>
          <w:color w:val="2A2A2A"/>
          <w:sz w:val="32"/>
          <w:szCs w:val="32"/>
          <w:lang w:val="en-US" w:eastAsia="zh-CN"/>
        </w:rPr>
        <w:t>2021</w:t>
      </w:r>
      <w:r>
        <w:rPr>
          <w:rFonts w:hint="eastAsia" w:ascii="仿宋_GB2312" w:hAnsi="宋体" w:eastAsia="仿宋_GB2312" w:cs="宋体"/>
          <w:color w:val="2A2A2A"/>
          <w:sz w:val="32"/>
          <w:szCs w:val="32"/>
        </w:rPr>
        <w:t>年我院</w:t>
      </w:r>
      <w:r>
        <w:rPr>
          <w:rFonts w:hint="eastAsia" w:ascii="仿宋_GB2312" w:hAnsi="宋体" w:eastAsia="仿宋_GB2312" w:cs="宋体"/>
          <w:color w:val="2A2A2A"/>
          <w:sz w:val="32"/>
          <w:szCs w:val="32"/>
          <w:lang w:val="en-US" w:eastAsia="zh-CN"/>
        </w:rPr>
        <w:t>中央对地方专项转移支付（中央政法纪检监察转移支付资金）办案业务装备费预算为160</w:t>
      </w:r>
      <w:r>
        <w:rPr>
          <w:rFonts w:hint="eastAsia" w:ascii="仿宋_GB2312" w:hAnsi="宋体" w:eastAsia="仿宋_GB2312" w:cs="宋体"/>
          <w:color w:val="2A2A2A"/>
          <w:sz w:val="32"/>
          <w:szCs w:val="32"/>
        </w:rPr>
        <w:t>万元。</w:t>
      </w:r>
      <w:r>
        <w:rPr>
          <w:rFonts w:hint="eastAsia" w:ascii="仿宋_GB2312" w:hAnsi="宋体" w:eastAsia="仿宋_GB2312" w:cs="宋体"/>
          <w:color w:val="2A2A2A"/>
          <w:sz w:val="32"/>
          <w:szCs w:val="32"/>
          <w:lang w:val="en-US" w:eastAsia="zh-CN"/>
        </w:rPr>
        <w:t xml:space="preserve">                     </w:t>
      </w:r>
    </w:p>
    <w:p>
      <w:pPr>
        <w:pStyle w:val="13"/>
        <w:widowControl/>
        <w:spacing w:line="640" w:lineRule="exact"/>
        <w:ind w:firstLine="630" w:firstLineChars="196"/>
        <w:rPr>
          <w:rFonts w:hint="eastAsia" w:ascii="仿宋_GB2312" w:eastAsia="仿宋_GB2312"/>
          <w:b/>
          <w:sz w:val="32"/>
          <w:szCs w:val="32"/>
        </w:rPr>
      </w:pPr>
      <w:r>
        <w:rPr>
          <w:rFonts w:hint="eastAsia" w:ascii="仿宋_GB2312" w:hAnsi="宋体" w:eastAsia="仿宋_GB2312" w:cs="宋体"/>
          <w:b/>
          <w:color w:val="2A2A2A"/>
          <w:sz w:val="32"/>
          <w:szCs w:val="32"/>
        </w:rPr>
        <w:t>（二）预算执行情情况</w:t>
      </w:r>
    </w:p>
    <w:p>
      <w:pPr>
        <w:pStyle w:val="13"/>
        <w:widowControl/>
        <w:spacing w:line="640" w:lineRule="exact"/>
        <w:ind w:firstLine="627" w:firstLineChars="196"/>
        <w:rPr>
          <w:rFonts w:hint="eastAsia" w:ascii="仿宋_GB2312" w:hAnsi="宋体" w:eastAsia="仿宋_GB2312" w:cs="宋体"/>
          <w:color w:val="2A2A2A"/>
          <w:sz w:val="32"/>
          <w:szCs w:val="32"/>
        </w:rPr>
      </w:pPr>
      <w:r>
        <w:rPr>
          <w:rFonts w:hint="eastAsia" w:ascii="仿宋_GB2312" w:hAnsi="宋体" w:eastAsia="仿宋_GB2312" w:cs="宋体"/>
          <w:color w:val="2A2A2A"/>
          <w:sz w:val="32"/>
          <w:szCs w:val="32"/>
        </w:rPr>
        <w:t>1、我院截止</w:t>
      </w:r>
      <w:r>
        <w:rPr>
          <w:rFonts w:hint="default" w:ascii="仿宋_GB2312" w:hAnsi="宋体" w:eastAsia="仿宋_GB2312" w:cs="宋体"/>
          <w:color w:val="2A2A2A"/>
          <w:sz w:val="32"/>
          <w:szCs w:val="32"/>
          <w:lang w:eastAsia="zh-CN"/>
        </w:rPr>
        <w:t>2020</w:t>
      </w:r>
      <w:r>
        <w:rPr>
          <w:rFonts w:hint="eastAsia" w:ascii="仿宋_GB2312" w:hAnsi="宋体" w:eastAsia="仿宋_GB2312" w:cs="宋体"/>
          <w:color w:val="2A2A2A"/>
          <w:sz w:val="32"/>
          <w:szCs w:val="32"/>
          <w:lang w:val="en-US" w:eastAsia="zh-CN"/>
        </w:rPr>
        <w:t>年12月31日</w:t>
      </w:r>
      <w:r>
        <w:rPr>
          <w:rFonts w:hint="eastAsia" w:ascii="仿宋_GB2312" w:hAnsi="宋体" w:eastAsia="仿宋_GB2312" w:cs="宋体"/>
          <w:color w:val="2A2A2A"/>
          <w:sz w:val="32"/>
          <w:szCs w:val="32"/>
        </w:rPr>
        <w:t>年我院总支出为：</w:t>
      </w:r>
      <w:r>
        <w:rPr>
          <w:rFonts w:hint="eastAsia" w:ascii="仿宋_GB2312" w:hAnsi="宋体" w:eastAsia="仿宋_GB2312" w:cs="宋体"/>
          <w:color w:val="2A2A2A"/>
          <w:sz w:val="32"/>
          <w:szCs w:val="32"/>
          <w:lang w:val="en-US" w:eastAsia="zh-CN"/>
        </w:rPr>
        <w:t>141.69</w:t>
      </w:r>
      <w:r>
        <w:rPr>
          <w:rFonts w:hint="eastAsia" w:ascii="仿宋_GB2312" w:hAnsi="宋体" w:eastAsia="仿宋_GB2312" w:cs="宋体"/>
          <w:color w:val="2A2A2A"/>
          <w:sz w:val="32"/>
          <w:szCs w:val="32"/>
        </w:rPr>
        <w:t>万元，其中</w:t>
      </w:r>
      <w:r>
        <w:rPr>
          <w:rFonts w:hint="eastAsia" w:ascii="仿宋_GB2312" w:hAnsi="宋体" w:eastAsia="仿宋_GB2312" w:cs="宋体"/>
          <w:color w:val="2A2A2A"/>
          <w:sz w:val="32"/>
          <w:szCs w:val="32"/>
          <w:lang w:eastAsia="zh-CN"/>
        </w:rPr>
        <w:t>：</w:t>
      </w:r>
      <w:r>
        <w:rPr>
          <w:rFonts w:hint="eastAsia" w:ascii="仿宋_GB2312" w:hAnsi="宋体" w:eastAsia="仿宋_GB2312" w:cs="宋体"/>
          <w:color w:val="2A2A2A"/>
          <w:sz w:val="32"/>
          <w:szCs w:val="32"/>
          <w:lang w:val="en-US" w:eastAsia="zh-CN"/>
        </w:rPr>
        <w:t>2020</w:t>
      </w:r>
      <w:r>
        <w:rPr>
          <w:rFonts w:hint="eastAsia" w:ascii="仿宋_GB2312" w:hAnsi="宋体" w:eastAsia="仿宋_GB2312" w:cs="宋体"/>
          <w:color w:val="2A2A2A"/>
          <w:sz w:val="32"/>
          <w:szCs w:val="32"/>
        </w:rPr>
        <w:t>年中央和省级政法转移支付资金的通知</w:t>
      </w:r>
      <w:r>
        <w:rPr>
          <w:rFonts w:hint="eastAsia" w:ascii="仿宋_GB2312" w:hAnsi="宋体" w:eastAsia="仿宋_GB2312" w:cs="宋体"/>
          <w:color w:val="2A2A2A"/>
          <w:sz w:val="32"/>
          <w:szCs w:val="32"/>
          <w:lang w:val="en-US" w:eastAsia="zh-CN"/>
        </w:rPr>
        <w:t>办案业务经费</w:t>
      </w:r>
      <w:r>
        <w:rPr>
          <w:rFonts w:hint="eastAsia" w:ascii="仿宋_GB2312" w:hAnsi="宋体" w:eastAsia="仿宋_GB2312" w:cs="宋体"/>
          <w:color w:val="2A2A2A"/>
          <w:sz w:val="32"/>
          <w:szCs w:val="32"/>
        </w:rPr>
        <w:t>支出为</w:t>
      </w:r>
      <w:r>
        <w:rPr>
          <w:rFonts w:hint="eastAsia" w:ascii="仿宋_GB2312" w:hAnsi="宋体" w:eastAsia="仿宋_GB2312" w:cs="宋体"/>
          <w:color w:val="2A2A2A"/>
          <w:sz w:val="32"/>
          <w:szCs w:val="32"/>
          <w:lang w:val="en-US" w:eastAsia="zh-CN"/>
        </w:rPr>
        <w:t>82.51</w:t>
      </w:r>
      <w:r>
        <w:rPr>
          <w:rFonts w:hint="eastAsia" w:ascii="仿宋_GB2312" w:hAnsi="宋体" w:eastAsia="仿宋_GB2312" w:cs="宋体"/>
          <w:color w:val="2A2A2A"/>
          <w:sz w:val="32"/>
          <w:szCs w:val="32"/>
        </w:rPr>
        <w:t>万元，20</w:t>
      </w:r>
      <w:r>
        <w:rPr>
          <w:rFonts w:hint="eastAsia" w:ascii="仿宋_GB2312" w:hAnsi="宋体" w:eastAsia="仿宋_GB2312" w:cs="宋体"/>
          <w:color w:val="2A2A2A"/>
          <w:sz w:val="32"/>
          <w:szCs w:val="32"/>
          <w:lang w:val="en-US" w:eastAsia="zh-CN"/>
        </w:rPr>
        <w:t>20</w:t>
      </w:r>
      <w:r>
        <w:rPr>
          <w:rFonts w:hint="eastAsia" w:ascii="仿宋_GB2312" w:hAnsi="宋体" w:eastAsia="仿宋_GB2312" w:cs="宋体"/>
          <w:color w:val="2A2A2A"/>
          <w:sz w:val="32"/>
          <w:szCs w:val="32"/>
        </w:rPr>
        <w:t>年中央和省级政法转移支付资金</w:t>
      </w:r>
      <w:r>
        <w:rPr>
          <w:rFonts w:hint="eastAsia" w:ascii="仿宋_GB2312" w:hAnsi="宋体" w:eastAsia="仿宋_GB2312" w:cs="宋体"/>
          <w:color w:val="2A2A2A"/>
          <w:sz w:val="32"/>
          <w:szCs w:val="32"/>
          <w:lang w:val="en-US" w:eastAsia="zh-CN"/>
        </w:rPr>
        <w:t>业务装备经费</w:t>
      </w:r>
      <w:r>
        <w:rPr>
          <w:rFonts w:hint="eastAsia" w:ascii="仿宋_GB2312" w:hAnsi="宋体" w:eastAsia="仿宋_GB2312" w:cs="宋体"/>
          <w:color w:val="2A2A2A"/>
          <w:sz w:val="32"/>
          <w:szCs w:val="32"/>
        </w:rPr>
        <w:t>支出为</w:t>
      </w:r>
      <w:r>
        <w:rPr>
          <w:rFonts w:hint="eastAsia" w:ascii="仿宋_GB2312" w:hAnsi="宋体" w:eastAsia="仿宋_GB2312" w:cs="宋体"/>
          <w:color w:val="2A2A2A"/>
          <w:sz w:val="32"/>
          <w:szCs w:val="32"/>
          <w:lang w:val="en-US" w:eastAsia="zh-CN"/>
        </w:rPr>
        <w:t>59.18</w:t>
      </w:r>
      <w:r>
        <w:rPr>
          <w:rFonts w:hint="eastAsia" w:ascii="仿宋_GB2312" w:hAnsi="宋体" w:eastAsia="仿宋_GB2312" w:cs="宋体"/>
          <w:color w:val="2A2A2A"/>
          <w:sz w:val="32"/>
          <w:szCs w:val="32"/>
        </w:rPr>
        <w:t>万元。</w:t>
      </w:r>
    </w:p>
    <w:p>
      <w:pPr>
        <w:pStyle w:val="13"/>
        <w:widowControl/>
        <w:spacing w:line="640" w:lineRule="exact"/>
        <w:ind w:firstLine="630" w:firstLineChars="196"/>
        <w:rPr>
          <w:rFonts w:hint="eastAsia" w:ascii="仿宋_GB2312" w:eastAsia="仿宋_GB2312"/>
          <w:b/>
          <w:sz w:val="32"/>
          <w:szCs w:val="32"/>
        </w:rPr>
      </w:pPr>
      <w:r>
        <w:rPr>
          <w:rFonts w:hint="eastAsia" w:ascii="仿宋_GB2312" w:hAnsi="宋体" w:eastAsia="仿宋_GB2312" w:cs="宋体"/>
          <w:b/>
          <w:color w:val="2A2A2A"/>
          <w:sz w:val="32"/>
          <w:szCs w:val="32"/>
        </w:rPr>
        <w:t>（三）专项预算项目支出绩效情况</w:t>
      </w:r>
    </w:p>
    <w:p>
      <w:pPr>
        <w:pStyle w:val="13"/>
        <w:widowControl/>
        <w:spacing w:line="640" w:lineRule="exact"/>
        <w:ind w:firstLine="627" w:firstLineChars="196"/>
        <w:rPr>
          <w:rFonts w:hint="eastAsia" w:ascii="仿宋_GB2312" w:hAnsi="宋体" w:eastAsia="仿宋_GB2312" w:cs="宋体"/>
          <w:color w:val="2A2A2A"/>
          <w:sz w:val="32"/>
          <w:szCs w:val="32"/>
          <w:lang w:val="en-US" w:eastAsia="zh-CN"/>
        </w:rPr>
      </w:pPr>
      <w:r>
        <w:rPr>
          <w:rFonts w:hint="eastAsia" w:ascii="仿宋_GB2312" w:hAnsi="宋体" w:eastAsia="仿宋_GB2312" w:cs="宋体"/>
          <w:color w:val="2A2A2A"/>
          <w:sz w:val="32"/>
          <w:szCs w:val="32"/>
        </w:rPr>
        <w:t>我院经费保障工作进一步加强，保障水平进一步提高，经费保障的强化，有力地保障了机关的正常地运转，确保了各项检察</w:t>
      </w:r>
      <w:r>
        <w:rPr>
          <w:rFonts w:hint="eastAsia" w:ascii="仿宋_GB2312" w:hAnsi="宋体" w:eastAsia="仿宋_GB2312" w:cs="宋体"/>
          <w:color w:val="2A2A2A"/>
          <w:sz w:val="32"/>
          <w:szCs w:val="32"/>
          <w:lang w:val="en-US" w:eastAsia="zh-CN"/>
        </w:rPr>
        <w:t>业务</w:t>
      </w:r>
      <w:r>
        <w:rPr>
          <w:rFonts w:hint="eastAsia" w:ascii="仿宋_GB2312" w:hAnsi="宋体" w:eastAsia="仿宋_GB2312" w:cs="宋体"/>
          <w:color w:val="2A2A2A"/>
          <w:sz w:val="32"/>
          <w:szCs w:val="32"/>
        </w:rPr>
        <w:t>的顺利开展</w:t>
      </w:r>
      <w:r>
        <w:rPr>
          <w:rFonts w:hint="eastAsia" w:ascii="仿宋_GB2312" w:hAnsi="宋体" w:eastAsia="仿宋_GB2312" w:cs="宋体"/>
          <w:color w:val="2A2A2A"/>
          <w:sz w:val="32"/>
          <w:szCs w:val="32"/>
          <w:lang w:eastAsia="zh-CN"/>
        </w:rPr>
        <w:t>，</w:t>
      </w:r>
      <w:r>
        <w:rPr>
          <w:rFonts w:hint="eastAsia" w:ascii="仿宋_GB2312" w:hAnsi="宋体" w:eastAsia="仿宋_GB2312" w:cs="宋体"/>
          <w:color w:val="2A2A2A"/>
          <w:sz w:val="32"/>
          <w:szCs w:val="32"/>
          <w:lang w:val="en-US" w:eastAsia="zh-CN"/>
        </w:rPr>
        <w:t>基本</w:t>
      </w:r>
      <w:r>
        <w:rPr>
          <w:rFonts w:hint="eastAsia" w:ascii="仿宋_GB2312" w:hAnsi="宋体" w:eastAsia="仿宋_GB2312" w:cs="宋体"/>
          <w:color w:val="2A2A2A"/>
          <w:sz w:val="32"/>
          <w:szCs w:val="32"/>
        </w:rPr>
        <w:t>完成了</w:t>
      </w:r>
      <w:r>
        <w:rPr>
          <w:rFonts w:hint="default" w:ascii="仿宋_GB2312" w:hAnsi="宋体" w:eastAsia="仿宋_GB2312" w:cs="宋体"/>
          <w:color w:val="2A2A2A"/>
          <w:sz w:val="32"/>
          <w:szCs w:val="32"/>
          <w:lang w:eastAsia="zh-CN"/>
        </w:rPr>
        <w:t>2020</w:t>
      </w:r>
      <w:r>
        <w:rPr>
          <w:rFonts w:hint="eastAsia" w:ascii="仿宋_GB2312" w:hAnsi="宋体" w:eastAsia="仿宋_GB2312" w:cs="宋体"/>
          <w:color w:val="2A2A2A"/>
          <w:sz w:val="32"/>
          <w:szCs w:val="32"/>
        </w:rPr>
        <w:t>年度绩效任务。</w:t>
      </w:r>
      <w:r>
        <w:rPr>
          <w:rFonts w:hint="eastAsia" w:ascii="仿宋_GB2312" w:hAnsi="宋体" w:eastAsia="仿宋_GB2312" w:cs="宋体"/>
          <w:color w:val="2A2A2A"/>
          <w:sz w:val="32"/>
          <w:szCs w:val="32"/>
          <w:lang w:val="en-US" w:eastAsia="zh-CN"/>
        </w:rPr>
        <w:t>具体如下：</w:t>
      </w:r>
    </w:p>
    <w:tbl>
      <w:tblPr>
        <w:tblStyle w:val="14"/>
        <w:tblW w:w="8760" w:type="dxa"/>
        <w:tblInd w:w="0" w:type="dxa"/>
        <w:tblLayout w:type="autofit"/>
        <w:tblCellMar>
          <w:top w:w="0" w:type="dxa"/>
          <w:left w:w="0" w:type="dxa"/>
          <w:bottom w:w="0" w:type="dxa"/>
          <w:right w:w="0" w:type="dxa"/>
        </w:tblCellMar>
      </w:tblPr>
      <w:tblGrid>
        <w:gridCol w:w="4575"/>
        <w:gridCol w:w="1121"/>
        <w:gridCol w:w="1139"/>
        <w:gridCol w:w="1925"/>
      </w:tblGrid>
      <w:tr>
        <w:tblPrEx>
          <w:tblCellMar>
            <w:top w:w="0" w:type="dxa"/>
            <w:left w:w="0" w:type="dxa"/>
            <w:bottom w:w="0" w:type="dxa"/>
            <w:right w:w="0" w:type="dxa"/>
          </w:tblCellMar>
        </w:tblPrEx>
        <w:trPr>
          <w:trHeight w:val="522"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112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年度指标值</w:t>
            </w:r>
          </w:p>
        </w:tc>
        <w:tc>
          <w:tcPr>
            <w:tcW w:w="11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全年完成值</w:t>
            </w:r>
          </w:p>
        </w:tc>
        <w:tc>
          <w:tcPr>
            <w:tcW w:w="192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未完成原因和改进措施</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审查逮捕人数(人)</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审查批准延长羁押人数（人）</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审查起诉人数（人）</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二审上诉案件办理数（件）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民事行政案件办理数（件）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公益诉讼案件办理数（件）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各类信访案件办理数（件）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国家司法救助人数（人）</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刑事申诉案件办理数（件）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刑事申诉案件立案复查数（件）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检察技术案件办理数（件）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业务装备修理维护数(台套)</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检察宣传次数(次)</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培训人次(次)</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购置信息网络设备数量(台套)</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购置检察业务常规设备数量(台套)</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bl>
    <w:p>
      <w:pPr>
        <w:pStyle w:val="13"/>
        <w:widowControl/>
        <w:spacing w:line="640" w:lineRule="exact"/>
        <w:ind w:firstLine="630" w:firstLineChars="196"/>
        <w:rPr>
          <w:rFonts w:hint="eastAsia" w:ascii="仿宋_GB2312" w:eastAsia="仿宋_GB2312"/>
          <w:b/>
          <w:sz w:val="32"/>
          <w:szCs w:val="32"/>
        </w:rPr>
      </w:pPr>
      <w:r>
        <w:rPr>
          <w:rFonts w:hint="eastAsia" w:ascii="仿宋_GB2312" w:hAnsi="宋体" w:eastAsia="仿宋_GB2312" w:cs="宋体"/>
          <w:b/>
          <w:color w:val="2A2A2A"/>
          <w:sz w:val="32"/>
          <w:szCs w:val="32"/>
        </w:rPr>
        <w:t>2、专项预算项目支出绩效</w:t>
      </w:r>
    </w:p>
    <w:p>
      <w:pPr>
        <w:pStyle w:val="13"/>
        <w:widowControl/>
        <w:spacing w:line="640" w:lineRule="exact"/>
        <w:ind w:firstLine="630" w:firstLineChars="196"/>
        <w:rPr>
          <w:rFonts w:hint="eastAsia" w:ascii="仿宋_GB2312" w:eastAsia="仿宋_GB2312"/>
          <w:sz w:val="32"/>
          <w:szCs w:val="32"/>
        </w:rPr>
      </w:pPr>
      <w:r>
        <w:rPr>
          <w:rFonts w:hint="eastAsia" w:ascii="仿宋_GB2312" w:hAnsi="宋体" w:eastAsia="仿宋_GB2312" w:cs="宋体"/>
          <w:b/>
          <w:color w:val="2A2A2A"/>
          <w:sz w:val="32"/>
          <w:szCs w:val="32"/>
        </w:rPr>
        <w:t>（1）资金绩效分配情况</w:t>
      </w:r>
    </w:p>
    <w:p>
      <w:pPr>
        <w:pStyle w:val="13"/>
        <w:widowControl/>
        <w:spacing w:line="640" w:lineRule="exact"/>
        <w:ind w:firstLine="627" w:firstLineChars="196"/>
        <w:rPr>
          <w:rFonts w:hint="eastAsia" w:ascii="仿宋_GB2312" w:hAnsi="宋体" w:eastAsia="仿宋_GB2312" w:cs="宋体"/>
          <w:color w:val="2A2A2A"/>
          <w:sz w:val="32"/>
          <w:szCs w:val="32"/>
        </w:rPr>
      </w:pPr>
      <w:r>
        <w:rPr>
          <w:rFonts w:hint="default" w:ascii="仿宋_GB2312" w:hAnsi="宋体" w:eastAsia="仿宋_GB2312" w:cs="宋体"/>
          <w:color w:val="2A2A2A"/>
          <w:sz w:val="32"/>
          <w:szCs w:val="32"/>
        </w:rPr>
        <w:t>2020</w:t>
      </w:r>
      <w:r>
        <w:rPr>
          <w:rFonts w:hint="eastAsia" w:ascii="仿宋_GB2312" w:hAnsi="宋体" w:eastAsia="仿宋_GB2312" w:cs="宋体"/>
          <w:color w:val="2A2A2A"/>
          <w:sz w:val="32"/>
          <w:szCs w:val="32"/>
        </w:rPr>
        <w:t>年州财政下达我院中央转移支付资金</w:t>
      </w:r>
      <w:r>
        <w:rPr>
          <w:rFonts w:hint="default" w:ascii="仿宋_GB2312" w:hAnsi="宋体" w:eastAsia="仿宋_GB2312" w:cs="宋体"/>
          <w:color w:val="2A2A2A"/>
          <w:sz w:val="32"/>
          <w:szCs w:val="32"/>
          <w:lang w:eastAsia="zh-CN"/>
        </w:rPr>
        <w:t>309</w:t>
      </w:r>
      <w:r>
        <w:rPr>
          <w:rFonts w:hint="eastAsia" w:ascii="仿宋_GB2312" w:hAnsi="宋体" w:eastAsia="仿宋_GB2312" w:cs="宋体"/>
          <w:color w:val="2A2A2A"/>
          <w:sz w:val="32"/>
          <w:szCs w:val="32"/>
        </w:rPr>
        <w:t>万元，其中办案补助</w:t>
      </w:r>
      <w:r>
        <w:rPr>
          <w:rFonts w:hint="default" w:ascii="仿宋_GB2312" w:hAnsi="宋体" w:eastAsia="仿宋_GB2312" w:cs="宋体"/>
          <w:color w:val="2A2A2A"/>
          <w:sz w:val="32"/>
          <w:szCs w:val="32"/>
          <w:lang w:eastAsia="zh-CN"/>
        </w:rPr>
        <w:t>179</w:t>
      </w:r>
      <w:r>
        <w:rPr>
          <w:rFonts w:hint="eastAsia" w:ascii="仿宋_GB2312" w:hAnsi="宋体" w:eastAsia="仿宋_GB2312" w:cs="宋体"/>
          <w:color w:val="2A2A2A"/>
          <w:sz w:val="32"/>
          <w:szCs w:val="32"/>
        </w:rPr>
        <w:t>万元，装备补助</w:t>
      </w:r>
      <w:r>
        <w:rPr>
          <w:rFonts w:hint="default" w:ascii="仿宋_GB2312" w:hAnsi="宋体" w:eastAsia="仿宋_GB2312" w:cs="宋体"/>
          <w:color w:val="2A2A2A"/>
          <w:sz w:val="32"/>
          <w:szCs w:val="32"/>
          <w:lang w:eastAsia="zh-CN"/>
        </w:rPr>
        <w:t>120</w:t>
      </w:r>
      <w:r>
        <w:rPr>
          <w:rFonts w:hint="eastAsia" w:ascii="仿宋_GB2312" w:hAnsi="宋体" w:eastAsia="仿宋_GB2312" w:cs="宋体"/>
          <w:color w:val="2A2A2A"/>
          <w:sz w:val="32"/>
          <w:szCs w:val="32"/>
        </w:rPr>
        <w:t>万元</w:t>
      </w:r>
      <w:r>
        <w:rPr>
          <w:rFonts w:hint="eastAsia" w:ascii="仿宋_GB2312" w:hAnsi="宋体" w:eastAsia="仿宋_GB2312" w:cs="宋体"/>
          <w:color w:val="2A2A2A"/>
          <w:sz w:val="32"/>
          <w:szCs w:val="32"/>
          <w:lang w:eastAsia="zh-CN"/>
        </w:rPr>
        <w:t>，</w:t>
      </w:r>
      <w:r>
        <w:rPr>
          <w:rFonts w:hint="default" w:ascii="仿宋_GB2312" w:hAnsi="宋体" w:eastAsia="仿宋_GB2312" w:cs="宋体"/>
          <w:color w:val="2A2A2A"/>
          <w:sz w:val="32"/>
          <w:szCs w:val="32"/>
          <w:lang w:eastAsia="zh-CN"/>
        </w:rPr>
        <w:t>新冠防控</w:t>
      </w:r>
      <w:r>
        <w:rPr>
          <w:rFonts w:hint="eastAsia" w:ascii="仿宋_GB2312" w:hAnsi="宋体" w:eastAsia="仿宋_GB2312" w:cs="宋体"/>
          <w:color w:val="2A2A2A"/>
          <w:sz w:val="32"/>
          <w:szCs w:val="32"/>
          <w:lang w:val="en-US" w:eastAsia="zh-CN"/>
        </w:rPr>
        <w:t>因素</w:t>
      </w:r>
      <w:r>
        <w:rPr>
          <w:rFonts w:hint="default" w:ascii="仿宋_GB2312" w:hAnsi="宋体" w:eastAsia="仿宋_GB2312" w:cs="宋体"/>
          <w:color w:val="2A2A2A"/>
          <w:sz w:val="32"/>
          <w:szCs w:val="32"/>
          <w:lang w:eastAsia="zh-CN"/>
        </w:rPr>
        <w:t>7</w:t>
      </w:r>
      <w:r>
        <w:rPr>
          <w:rFonts w:hint="eastAsia" w:ascii="仿宋_GB2312" w:hAnsi="宋体" w:eastAsia="仿宋_GB2312" w:cs="宋体"/>
          <w:color w:val="2A2A2A"/>
          <w:sz w:val="32"/>
          <w:szCs w:val="32"/>
          <w:lang w:val="en-US" w:eastAsia="zh-CN"/>
        </w:rPr>
        <w:t>万元，扫黑除恶因素</w:t>
      </w:r>
      <w:r>
        <w:rPr>
          <w:rFonts w:hint="default" w:ascii="仿宋_GB2312" w:hAnsi="宋体" w:eastAsia="仿宋_GB2312" w:cs="宋体"/>
          <w:color w:val="2A2A2A"/>
          <w:sz w:val="32"/>
          <w:szCs w:val="32"/>
          <w:lang w:eastAsia="zh-CN"/>
        </w:rPr>
        <w:t>3</w:t>
      </w:r>
      <w:r>
        <w:rPr>
          <w:rFonts w:hint="eastAsia" w:ascii="仿宋_GB2312" w:hAnsi="宋体" w:eastAsia="仿宋_GB2312" w:cs="宋体"/>
          <w:color w:val="2A2A2A"/>
          <w:sz w:val="32"/>
          <w:szCs w:val="32"/>
          <w:lang w:val="en-US" w:eastAsia="zh-CN"/>
        </w:rPr>
        <w:t>万元</w:t>
      </w:r>
      <w:r>
        <w:rPr>
          <w:rFonts w:hint="eastAsia" w:ascii="仿宋_GB2312" w:hAnsi="宋体" w:eastAsia="仿宋_GB2312" w:cs="宋体"/>
          <w:color w:val="2A2A2A"/>
          <w:sz w:val="32"/>
          <w:szCs w:val="32"/>
        </w:rPr>
        <w:t>。</w:t>
      </w:r>
    </w:p>
    <w:p>
      <w:pPr>
        <w:pStyle w:val="13"/>
        <w:widowControl/>
        <w:spacing w:line="640" w:lineRule="exact"/>
        <w:ind w:firstLine="627" w:firstLineChars="196"/>
        <w:rPr>
          <w:rFonts w:hint="eastAsia" w:ascii="仿宋_GB2312" w:hAnsi="宋体" w:eastAsia="仿宋_GB2312" w:cs="宋体"/>
          <w:color w:val="2A2A2A"/>
          <w:sz w:val="32"/>
          <w:szCs w:val="32"/>
        </w:rPr>
      </w:pPr>
      <w:r>
        <w:rPr>
          <w:rFonts w:hint="default" w:ascii="仿宋_GB2312" w:hAnsi="宋体" w:eastAsia="仿宋_GB2312" w:cs="宋体"/>
          <w:color w:val="2A2A2A"/>
          <w:sz w:val="32"/>
          <w:szCs w:val="32"/>
        </w:rPr>
        <w:t>业务装备经费</w:t>
      </w:r>
      <w:r>
        <w:rPr>
          <w:rFonts w:hint="eastAsia" w:ascii="仿宋_GB2312" w:hAnsi="宋体" w:eastAsia="仿宋_GB2312" w:cs="宋体"/>
          <w:color w:val="2A2A2A"/>
          <w:sz w:val="32"/>
          <w:szCs w:val="32"/>
        </w:rPr>
        <w:t>支出</w:t>
      </w:r>
      <w:r>
        <w:rPr>
          <w:rFonts w:hint="eastAsia" w:ascii="仿宋_GB2312" w:hAnsi="宋体" w:eastAsia="仿宋_GB2312" w:cs="宋体"/>
          <w:color w:val="2A2A2A"/>
          <w:sz w:val="32"/>
          <w:szCs w:val="32"/>
          <w:lang w:val="en-US" w:eastAsia="zh-CN"/>
        </w:rPr>
        <w:t>59.18</w:t>
      </w:r>
      <w:r>
        <w:rPr>
          <w:rFonts w:hint="eastAsia" w:ascii="仿宋_GB2312" w:hAnsi="宋体" w:eastAsia="仿宋_GB2312" w:cs="宋体"/>
          <w:color w:val="2A2A2A"/>
          <w:sz w:val="32"/>
          <w:szCs w:val="32"/>
        </w:rPr>
        <w:t>万元</w:t>
      </w:r>
      <w:r>
        <w:rPr>
          <w:rFonts w:hint="eastAsia" w:ascii="仿宋_GB2312" w:hAnsi="宋体" w:eastAsia="仿宋_GB2312" w:cs="宋体"/>
          <w:color w:val="2A2A2A"/>
          <w:sz w:val="32"/>
          <w:szCs w:val="32"/>
          <w:lang w:eastAsia="zh-CN"/>
        </w:rPr>
        <w:t>，</w:t>
      </w:r>
      <w:r>
        <w:rPr>
          <w:rFonts w:hint="eastAsia" w:ascii="仿宋_GB2312" w:hAnsi="宋体" w:eastAsia="仿宋_GB2312" w:cs="宋体"/>
          <w:color w:val="2A2A2A"/>
          <w:sz w:val="32"/>
          <w:szCs w:val="32"/>
          <w:lang w:val="en-US" w:eastAsia="zh-CN"/>
        </w:rPr>
        <w:t>办案业务经费</w:t>
      </w:r>
      <w:r>
        <w:rPr>
          <w:rFonts w:hint="eastAsia" w:ascii="仿宋_GB2312" w:hAnsi="宋体" w:eastAsia="仿宋_GB2312" w:cs="宋体"/>
          <w:color w:val="2A2A2A"/>
          <w:sz w:val="32"/>
          <w:szCs w:val="32"/>
        </w:rPr>
        <w:t>支出为</w:t>
      </w:r>
      <w:r>
        <w:rPr>
          <w:rFonts w:hint="eastAsia" w:ascii="仿宋_GB2312" w:hAnsi="宋体" w:eastAsia="仿宋_GB2312" w:cs="宋体"/>
          <w:color w:val="2A2A2A"/>
          <w:sz w:val="32"/>
          <w:szCs w:val="32"/>
          <w:lang w:val="en-US" w:eastAsia="zh-CN"/>
        </w:rPr>
        <w:t>82.51</w:t>
      </w:r>
      <w:r>
        <w:rPr>
          <w:rFonts w:hint="eastAsia" w:ascii="仿宋_GB2312" w:hAnsi="宋体" w:eastAsia="仿宋_GB2312" w:cs="宋体"/>
          <w:color w:val="2A2A2A"/>
          <w:sz w:val="32"/>
          <w:szCs w:val="32"/>
        </w:rPr>
        <w:t>万元。</w:t>
      </w:r>
    </w:p>
    <w:p>
      <w:pPr>
        <w:pStyle w:val="13"/>
        <w:widowControl/>
        <w:spacing w:line="640" w:lineRule="exact"/>
        <w:ind w:firstLine="630" w:firstLineChars="196"/>
        <w:rPr>
          <w:rFonts w:hint="eastAsia" w:ascii="仿宋_GB2312" w:eastAsia="仿宋_GB2312"/>
          <w:b/>
          <w:sz w:val="32"/>
          <w:szCs w:val="32"/>
        </w:rPr>
      </w:pPr>
      <w:r>
        <w:rPr>
          <w:rFonts w:hint="eastAsia" w:ascii="仿宋_GB2312" w:hAnsi="宋体" w:eastAsia="仿宋_GB2312" w:cs="宋体"/>
          <w:b/>
          <w:color w:val="2A2A2A"/>
          <w:sz w:val="32"/>
          <w:szCs w:val="32"/>
        </w:rPr>
        <w:t>（2）项目资金管理情况</w:t>
      </w:r>
    </w:p>
    <w:p>
      <w:pPr>
        <w:pStyle w:val="13"/>
        <w:widowControl/>
        <w:spacing w:line="640" w:lineRule="exact"/>
        <w:ind w:firstLine="627" w:firstLineChars="196"/>
        <w:rPr>
          <w:rFonts w:hint="eastAsia" w:ascii="仿宋_GB2312" w:eastAsia="仿宋_GB2312"/>
          <w:sz w:val="32"/>
          <w:szCs w:val="32"/>
        </w:rPr>
      </w:pPr>
      <w:r>
        <w:rPr>
          <w:rFonts w:hint="eastAsia" w:ascii="仿宋_GB2312" w:hAnsi="宋体" w:eastAsia="仿宋_GB2312" w:cs="宋体"/>
          <w:color w:val="2A2A2A"/>
          <w:sz w:val="32"/>
          <w:szCs w:val="32"/>
        </w:rPr>
        <w:t>中央专项资金严格执行最高人民检察院及财政部门的规定，专款专用，办案补助全部用于办理各类案件，未挪作他用，超范围使用。装备补助严格执照省院及州财政部门批复执行，并严格按照采购法进行装备的采购，其他项目亦坚持专款专用，单独核算，接受审计的原则。</w:t>
      </w:r>
    </w:p>
    <w:p>
      <w:pPr>
        <w:pStyle w:val="13"/>
        <w:widowControl/>
        <w:spacing w:line="640" w:lineRule="exact"/>
        <w:ind w:firstLine="630" w:firstLineChars="196"/>
        <w:rPr>
          <w:rFonts w:hint="eastAsia" w:ascii="仿宋_GB2312" w:eastAsia="仿宋_GB2312"/>
          <w:b/>
          <w:sz w:val="32"/>
          <w:szCs w:val="32"/>
        </w:rPr>
      </w:pPr>
      <w:r>
        <w:rPr>
          <w:rFonts w:hint="eastAsia" w:ascii="仿宋_GB2312" w:eastAsia="仿宋_GB2312"/>
          <w:b/>
          <w:sz w:val="32"/>
          <w:szCs w:val="32"/>
        </w:rPr>
        <w:t>（3）绩效目标完成情况</w:t>
      </w:r>
    </w:p>
    <w:p>
      <w:pPr>
        <w:pStyle w:val="13"/>
        <w:widowControl/>
        <w:spacing w:line="640" w:lineRule="exact"/>
        <w:ind w:firstLine="627" w:firstLineChars="196"/>
        <w:rPr>
          <w:rFonts w:hint="eastAsia" w:ascii="仿宋_GB2312" w:eastAsia="仿宋_GB2312"/>
          <w:sz w:val="32"/>
          <w:szCs w:val="32"/>
        </w:rPr>
      </w:pPr>
      <w:r>
        <w:rPr>
          <w:rFonts w:hint="eastAsia" w:ascii="仿宋_GB2312" w:hAnsi="宋体" w:eastAsia="仿宋_GB2312" w:cs="宋体"/>
          <w:color w:val="2A2A2A"/>
          <w:sz w:val="32"/>
          <w:szCs w:val="32"/>
          <w:lang w:val="en-US" w:eastAsia="zh-CN"/>
        </w:rPr>
        <w:t>2020</w:t>
      </w:r>
      <w:r>
        <w:rPr>
          <w:rFonts w:hint="eastAsia" w:ascii="仿宋_GB2312" w:hAnsi="宋体" w:eastAsia="仿宋_GB2312" w:cs="宋体"/>
          <w:color w:val="2A2A2A"/>
          <w:sz w:val="32"/>
          <w:szCs w:val="32"/>
        </w:rPr>
        <w:t>年中央和省级政法转移支付资金</w:t>
      </w:r>
      <w:r>
        <w:rPr>
          <w:rFonts w:hint="eastAsia" w:ascii="仿宋_GB2312" w:hAnsi="宋体" w:eastAsia="仿宋_GB2312" w:cs="宋体"/>
          <w:color w:val="2A2A2A"/>
          <w:sz w:val="32"/>
          <w:szCs w:val="32"/>
          <w:lang w:val="en-US" w:eastAsia="zh-CN"/>
        </w:rPr>
        <w:t>办案业务经费</w:t>
      </w:r>
      <w:r>
        <w:rPr>
          <w:rFonts w:hint="eastAsia" w:ascii="仿宋_GB2312" w:hAnsi="宋体" w:eastAsia="仿宋_GB2312" w:cs="宋体"/>
          <w:color w:val="2A2A2A"/>
          <w:sz w:val="32"/>
          <w:szCs w:val="32"/>
        </w:rPr>
        <w:t>支出为</w:t>
      </w:r>
      <w:r>
        <w:rPr>
          <w:rFonts w:hint="eastAsia" w:ascii="仿宋_GB2312" w:hAnsi="宋体" w:eastAsia="仿宋_GB2312" w:cs="宋体"/>
          <w:color w:val="2A2A2A"/>
          <w:sz w:val="32"/>
          <w:szCs w:val="32"/>
          <w:lang w:val="en-US" w:eastAsia="zh-CN"/>
        </w:rPr>
        <w:t>79.5</w:t>
      </w:r>
      <w:r>
        <w:rPr>
          <w:rFonts w:hint="eastAsia" w:ascii="仿宋_GB2312" w:hAnsi="宋体" w:eastAsia="仿宋_GB2312" w:cs="宋体"/>
          <w:color w:val="2A2A2A"/>
          <w:sz w:val="32"/>
          <w:szCs w:val="32"/>
        </w:rPr>
        <w:t>万元，执行率为</w:t>
      </w:r>
      <w:r>
        <w:rPr>
          <w:rFonts w:hint="eastAsia" w:ascii="仿宋_GB2312" w:hAnsi="宋体" w:eastAsia="仿宋_GB2312" w:cs="宋体"/>
          <w:color w:val="2A2A2A"/>
          <w:sz w:val="32"/>
          <w:szCs w:val="32"/>
          <w:lang w:val="en-US" w:eastAsia="zh-CN"/>
        </w:rPr>
        <w:t>46.09%，主要用于2020年各类案件办理差旅费、公务用车运行维护费、检察业务宣传费、检察业务印刷费等</w:t>
      </w:r>
      <w:r>
        <w:rPr>
          <w:rFonts w:hint="eastAsia" w:ascii="仿宋_GB2312" w:eastAsia="仿宋_GB2312"/>
          <w:sz w:val="32"/>
          <w:szCs w:val="32"/>
        </w:rPr>
        <w:t>。</w:t>
      </w:r>
    </w:p>
    <w:p>
      <w:pPr>
        <w:pStyle w:val="13"/>
        <w:widowControl/>
        <w:spacing w:line="640" w:lineRule="exact"/>
        <w:ind w:firstLine="627" w:firstLineChars="196"/>
        <w:rPr>
          <w:rFonts w:hint="eastAsia" w:ascii="仿宋_GB2312" w:hAnsi="宋体" w:eastAsia="仿宋_GB2312" w:cs="宋体"/>
          <w:sz w:val="32"/>
          <w:szCs w:val="32"/>
          <w:lang w:val="en-US" w:eastAsia="zh-CN"/>
        </w:rPr>
      </w:pPr>
      <w:r>
        <w:rPr>
          <w:rFonts w:hint="eastAsia" w:ascii="仿宋_GB2312" w:hAnsi="宋体" w:eastAsia="仿宋_GB2312" w:cs="宋体"/>
          <w:color w:val="2A2A2A"/>
          <w:sz w:val="32"/>
          <w:szCs w:val="32"/>
          <w:lang w:val="en-US" w:eastAsia="zh-CN"/>
        </w:rPr>
        <w:t>2020</w:t>
      </w:r>
      <w:r>
        <w:rPr>
          <w:rFonts w:hint="eastAsia" w:ascii="仿宋_GB2312" w:hAnsi="宋体" w:eastAsia="仿宋_GB2312" w:cs="宋体"/>
          <w:color w:val="2A2A2A"/>
          <w:sz w:val="32"/>
          <w:szCs w:val="32"/>
        </w:rPr>
        <w:t>年中央和省级政法转移支付资金</w:t>
      </w:r>
      <w:r>
        <w:rPr>
          <w:rFonts w:hint="eastAsia" w:ascii="仿宋_GB2312" w:eastAsia="仿宋_GB2312"/>
          <w:sz w:val="32"/>
          <w:szCs w:val="32"/>
          <w:lang w:val="en-US" w:eastAsia="zh-CN"/>
        </w:rPr>
        <w:t>扫黑除恶因素支出3万元，</w:t>
      </w:r>
      <w:r>
        <w:rPr>
          <w:rFonts w:hint="eastAsia" w:ascii="仿宋_GB2312" w:eastAsia="仿宋_GB2312"/>
          <w:sz w:val="32"/>
          <w:szCs w:val="32"/>
        </w:rPr>
        <w:t>执行率为</w:t>
      </w:r>
      <w:r>
        <w:rPr>
          <w:rFonts w:hint="eastAsia" w:ascii="仿宋_GB2312" w:eastAsia="仿宋_GB2312"/>
          <w:sz w:val="32"/>
          <w:szCs w:val="32"/>
          <w:lang w:val="en-US" w:eastAsia="zh-CN"/>
        </w:rPr>
        <w:t>100</w:t>
      </w:r>
      <w:r>
        <w:rPr>
          <w:rFonts w:hint="eastAsia" w:ascii="仿宋_GB2312" w:eastAsia="仿宋_GB2312"/>
          <w:sz w:val="32"/>
          <w:szCs w:val="32"/>
        </w:rPr>
        <w:t>%</w:t>
      </w:r>
      <w:r>
        <w:rPr>
          <w:rFonts w:hint="eastAsia" w:ascii="仿宋_GB2312" w:eastAsia="仿宋_GB2312"/>
          <w:sz w:val="32"/>
          <w:szCs w:val="32"/>
          <w:lang w:eastAsia="zh-CN"/>
        </w:rPr>
        <w:t>，</w:t>
      </w:r>
      <w:r>
        <w:rPr>
          <w:rFonts w:hint="eastAsia" w:ascii="仿宋_GB2312" w:hAnsi="宋体" w:eastAsia="仿宋_GB2312" w:cs="宋体"/>
          <w:color w:val="2A2A2A"/>
          <w:sz w:val="32"/>
          <w:szCs w:val="32"/>
          <w:lang w:val="en-US" w:eastAsia="zh-CN"/>
        </w:rPr>
        <w:t>主要用于2020年扫黑除恶案件办理时产生的差旅费、公务用车运行维护费、检察业务宣传费、检察业务印刷费等</w:t>
      </w:r>
      <w:r>
        <w:rPr>
          <w:rFonts w:hint="eastAsia" w:ascii="仿宋_GB2312" w:eastAsia="仿宋_GB2312"/>
          <w:sz w:val="32"/>
          <w:szCs w:val="32"/>
        </w:rPr>
        <w:t>。</w:t>
      </w:r>
    </w:p>
    <w:p>
      <w:pPr>
        <w:spacing w:line="640" w:lineRule="exact"/>
        <w:ind w:firstLine="630"/>
        <w:rPr>
          <w:rFonts w:hint="eastAsia" w:ascii="仿宋_GB2312" w:eastAsia="仿宋_GB2312"/>
          <w:sz w:val="32"/>
          <w:szCs w:val="32"/>
        </w:rPr>
      </w:pPr>
      <w:r>
        <w:rPr>
          <w:rFonts w:hint="eastAsia" w:ascii="仿宋_GB2312" w:hAnsi="宋体" w:eastAsia="仿宋_GB2312" w:cs="宋体"/>
          <w:sz w:val="32"/>
          <w:szCs w:val="32"/>
          <w:lang w:val="en-US" w:eastAsia="zh-CN"/>
        </w:rPr>
        <w:t>2020</w:t>
      </w:r>
      <w:r>
        <w:rPr>
          <w:rFonts w:hint="eastAsia" w:ascii="仿宋_GB2312" w:hAnsi="宋体" w:eastAsia="仿宋_GB2312" w:cs="宋体"/>
          <w:sz w:val="32"/>
          <w:szCs w:val="32"/>
        </w:rPr>
        <w:t>年</w:t>
      </w:r>
      <w:r>
        <w:rPr>
          <w:rFonts w:hint="eastAsia" w:ascii="仿宋_GB2312" w:eastAsia="仿宋_GB2312"/>
          <w:sz w:val="32"/>
          <w:szCs w:val="32"/>
        </w:rPr>
        <w:t>办案</w:t>
      </w:r>
      <w:r>
        <w:rPr>
          <w:rFonts w:hint="eastAsia" w:ascii="仿宋_GB2312" w:eastAsia="仿宋_GB2312"/>
          <w:sz w:val="32"/>
          <w:szCs w:val="32"/>
          <w:lang w:val="en-US" w:eastAsia="zh-CN"/>
        </w:rPr>
        <w:t>业务装备费</w:t>
      </w:r>
      <w:r>
        <w:rPr>
          <w:rFonts w:hint="eastAsia" w:ascii="仿宋_GB2312" w:eastAsia="仿宋_GB2312"/>
          <w:sz w:val="32"/>
          <w:szCs w:val="32"/>
        </w:rPr>
        <w:t>支出</w:t>
      </w:r>
      <w:r>
        <w:rPr>
          <w:rFonts w:hint="eastAsia" w:ascii="仿宋_GB2312" w:eastAsia="仿宋_GB2312"/>
          <w:sz w:val="32"/>
          <w:szCs w:val="32"/>
          <w:lang w:val="en-US" w:eastAsia="zh-CN"/>
        </w:rPr>
        <w:t>59.18</w:t>
      </w:r>
      <w:r>
        <w:rPr>
          <w:rFonts w:hint="eastAsia" w:ascii="仿宋_GB2312" w:eastAsia="仿宋_GB2312"/>
          <w:sz w:val="32"/>
          <w:szCs w:val="32"/>
        </w:rPr>
        <w:t>万元，执行率为</w:t>
      </w:r>
      <w:r>
        <w:rPr>
          <w:rFonts w:hint="eastAsia" w:ascii="仿宋_GB2312" w:eastAsia="仿宋_GB2312"/>
          <w:sz w:val="32"/>
          <w:szCs w:val="32"/>
          <w:lang w:val="en-US" w:eastAsia="zh-CN"/>
        </w:rPr>
        <w:t>49.32</w:t>
      </w:r>
      <w:r>
        <w:rPr>
          <w:rFonts w:hint="eastAsia" w:ascii="仿宋_GB2312" w:eastAsia="仿宋_GB2312"/>
          <w:sz w:val="32"/>
          <w:szCs w:val="32"/>
        </w:rPr>
        <w:t>%，主要</w:t>
      </w:r>
      <w:r>
        <w:rPr>
          <w:rFonts w:hint="eastAsia" w:ascii="仿宋_GB2312" w:eastAsia="仿宋_GB2312"/>
          <w:sz w:val="32"/>
          <w:szCs w:val="32"/>
          <w:lang w:val="en-US" w:eastAsia="zh-CN"/>
        </w:rPr>
        <w:t>原因是：按照《2020年业务装备配备实施计划》的规划，我院2020年业务装备费预算下达共计120万元，已按计划在2020年检察业务一体化网络项目中支付，按照项目进度已支出59.18万元</w:t>
      </w:r>
      <w:r>
        <w:rPr>
          <w:rFonts w:hint="eastAsia" w:ascii="仿宋_GB2312" w:eastAsia="仿宋_GB2312"/>
          <w:sz w:val="32"/>
          <w:szCs w:val="32"/>
        </w:rPr>
        <w:t>。</w:t>
      </w:r>
    </w:p>
    <w:p>
      <w:pPr>
        <w:spacing w:line="640" w:lineRule="exact"/>
        <w:ind w:firstLine="630"/>
        <w:rPr>
          <w:rFonts w:hint="eastAsia" w:ascii="仿宋_GB2312" w:eastAsia="仿宋_GB2312"/>
          <w:b/>
          <w:sz w:val="32"/>
          <w:szCs w:val="32"/>
        </w:rPr>
      </w:pPr>
      <w:r>
        <w:rPr>
          <w:rFonts w:hint="eastAsia" w:ascii="仿宋_GB2312" w:hAnsi="宋体" w:eastAsia="仿宋_GB2312" w:cs="宋体"/>
          <w:b/>
          <w:color w:val="2A2A2A"/>
          <w:sz w:val="32"/>
          <w:szCs w:val="32"/>
        </w:rPr>
        <w:t>（四）财务管理情况</w:t>
      </w:r>
    </w:p>
    <w:p>
      <w:pPr>
        <w:pStyle w:val="13"/>
        <w:widowControl/>
        <w:spacing w:line="640" w:lineRule="exact"/>
        <w:ind w:firstLine="640" w:firstLineChars="200"/>
        <w:rPr>
          <w:rFonts w:hint="eastAsia" w:ascii="仿宋_GB2312" w:eastAsia="仿宋_GB2312"/>
          <w:sz w:val="32"/>
          <w:szCs w:val="32"/>
        </w:rPr>
      </w:pPr>
      <w:r>
        <w:rPr>
          <w:rFonts w:hint="eastAsia" w:ascii="仿宋_GB2312" w:hAnsi="宋体" w:eastAsia="仿宋_GB2312" w:cs="宋体"/>
          <w:color w:val="2A2A2A"/>
          <w:sz w:val="32"/>
          <w:szCs w:val="32"/>
        </w:rPr>
        <w:t>严格执行财政部、最高检察院《人民检察院财务管理暂行办法（试行）》以及相关财务制度、财经纪律，结合实际制定了《公务接待管理制度》、《差旅费管理制度》、《公务用车管理制度》。一是加强“三公”经费管理，严格执行中央八项规定，促进“三公”经费管理规范化、制度化，公务接待严格执行接待标准，接待范围，坚持“三单”制度，“三单”不全一律不予报销，大力推行公务卡结算，尽量减少现金支付；二是加强公务用车管理，实行“派车单”和“维修单”制度，车辆维修由分管副检察长审批；三是加强经费支出管理，重大支出由院党组审定，每笔支出必须有经办人、部门负责人、审核人、分管副检察长签字才能支出；四是加强机关水、电管理，千方百计节能降耗。</w:t>
      </w:r>
    </w:p>
    <w:p>
      <w:pPr>
        <w:pStyle w:val="13"/>
        <w:widowControl/>
        <w:spacing w:line="640" w:lineRule="exact"/>
        <w:ind w:firstLine="482" w:firstLineChars="150"/>
        <w:rPr>
          <w:rFonts w:hint="eastAsia" w:ascii="仿宋_GB2312" w:hAnsi="宋体" w:eastAsia="仿宋_GB2312" w:cs="宋体"/>
          <w:b/>
          <w:color w:val="2A2A2A"/>
          <w:sz w:val="32"/>
          <w:szCs w:val="32"/>
        </w:rPr>
      </w:pPr>
      <w:r>
        <w:rPr>
          <w:rFonts w:hint="eastAsia" w:ascii="仿宋_GB2312" w:hAnsi="宋体" w:eastAsia="仿宋_GB2312" w:cs="宋体"/>
          <w:b/>
          <w:color w:val="2A2A2A"/>
          <w:sz w:val="32"/>
          <w:szCs w:val="32"/>
        </w:rPr>
        <w:t>（五）绩效管理工作开展情况。</w:t>
      </w:r>
    </w:p>
    <w:p>
      <w:pPr>
        <w:pStyle w:val="13"/>
        <w:widowControl/>
        <w:spacing w:line="640" w:lineRule="exact"/>
        <w:ind w:firstLine="627" w:firstLineChars="196"/>
        <w:rPr>
          <w:rFonts w:hint="eastAsia" w:ascii="仿宋_GB2312" w:hAnsi="宋体" w:eastAsia="仿宋_GB2312" w:cs="宋体"/>
          <w:color w:val="2A2A2A"/>
          <w:sz w:val="32"/>
          <w:szCs w:val="32"/>
        </w:rPr>
      </w:pPr>
      <w:r>
        <w:rPr>
          <w:rFonts w:hint="eastAsia" w:ascii="仿宋_GB2312" w:hAnsi="宋体" w:eastAsia="仿宋_GB2312" w:cs="宋体"/>
          <w:color w:val="2A2A2A"/>
          <w:sz w:val="32"/>
          <w:szCs w:val="32"/>
        </w:rPr>
        <w:t>2012年以来，我院高度重视支出绩效管理工作，不断完善管理制度，强化财务管理，通过财政支出绩效自评，我院财政支出绩效管理工作取得了以上成效，应予充分肯定，在今后的工作中更上一层楼。</w:t>
      </w:r>
    </w:p>
    <w:p>
      <w:pPr>
        <w:pStyle w:val="13"/>
        <w:widowControl/>
        <w:spacing w:line="640" w:lineRule="exact"/>
        <w:ind w:firstLine="4000" w:firstLineChars="1250"/>
        <w:rPr>
          <w:rFonts w:hint="eastAsia" w:ascii="仿宋_GB2312" w:hAnsi="宋体" w:eastAsia="仿宋_GB2312" w:cs="宋体"/>
          <w:color w:val="2A2A2A"/>
          <w:sz w:val="32"/>
          <w:szCs w:val="32"/>
        </w:rPr>
      </w:pPr>
      <w:r>
        <w:rPr>
          <w:rFonts w:hint="eastAsia" w:ascii="仿宋_GB2312" w:hAnsi="宋体" w:eastAsia="仿宋_GB2312" w:cs="宋体"/>
          <w:color w:val="2A2A2A"/>
          <w:sz w:val="32"/>
          <w:szCs w:val="32"/>
        </w:rPr>
        <w:t>阿坝州人民检察院</w:t>
      </w:r>
    </w:p>
    <w:p>
      <w:pPr>
        <w:spacing w:line="640" w:lineRule="exact"/>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2021年06月24日</w:t>
      </w:r>
    </w:p>
    <w:p>
      <w:pPr>
        <w:pStyle w:val="3"/>
        <w:rPr>
          <w:rStyle w:val="26"/>
          <w:rFonts w:ascii="仿宋" w:hAnsi="仿宋" w:eastAsia="仿宋"/>
          <w:b w:val="0"/>
          <w:bCs w:val="0"/>
        </w:rPr>
      </w:pPr>
      <w:r>
        <w:rPr>
          <w:rStyle w:val="26"/>
          <w:rFonts w:hint="eastAsia" w:ascii="仿宋" w:hAnsi="仿宋" w:eastAsia="仿宋"/>
          <w:b/>
          <w:bCs/>
        </w:rPr>
        <w:t>附件2</w:t>
      </w:r>
      <w:bookmarkEnd w:id="61"/>
    </w:p>
    <w:p>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2020年阿坝州人民检察院项目支出绩效评价报告</w:t>
      </w:r>
    </w:p>
    <w:p>
      <w:pPr>
        <w:spacing w:line="580" w:lineRule="exact"/>
        <w:ind w:firstLine="640" w:firstLineChars="200"/>
        <w:rPr>
          <w:rFonts w:ascii="仿宋_GB2312" w:hAnsi="仿宋_GB2312" w:eastAsia="仿宋_GB2312" w:cs="仿宋_GB2312"/>
          <w:sz w:val="32"/>
          <w:szCs w:val="32"/>
        </w:rPr>
      </w:pPr>
    </w:p>
    <w:p>
      <w:pPr>
        <w:keepNext w:val="0"/>
        <w:keepLines w:val="0"/>
        <w:pageBreakBefore w:val="0"/>
        <w:widowControl w:val="0"/>
        <w:numPr>
          <w:ilvl w:val="0"/>
          <w:numId w:val="10"/>
        </w:numPr>
        <w:kinsoku/>
        <w:wordWrap/>
        <w:overflowPunct/>
        <w:topLinePunct w:val="0"/>
        <w:autoSpaceDE/>
        <w:autoSpaceDN/>
        <w:bidi w:val="0"/>
        <w:adjustRightInd/>
        <w:snapToGrid/>
        <w:spacing w:line="640" w:lineRule="exact"/>
        <w:ind w:firstLine="643" w:firstLineChars="200"/>
        <w:textAlignment w:val="auto"/>
        <w:rPr>
          <w:rFonts w:hint="eastAsia" w:ascii="黑体" w:hAnsi="黑体" w:eastAsia="黑体" w:cs="黑体"/>
          <w:b/>
          <w:bCs/>
          <w:sz w:val="32"/>
          <w:szCs w:val="32"/>
        </w:rPr>
      </w:pPr>
      <w:bookmarkStart w:id="62" w:name="_Toc15396618"/>
      <w:r>
        <w:rPr>
          <w:rFonts w:hint="eastAsia" w:ascii="黑体" w:hAnsi="黑体" w:eastAsia="黑体" w:cs="黑体"/>
          <w:b/>
          <w:bCs/>
          <w:sz w:val="32"/>
          <w:szCs w:val="32"/>
        </w:rPr>
        <w:t>基本情况</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1.项目名称：</w:t>
      </w:r>
      <w:r>
        <w:rPr>
          <w:rFonts w:hint="eastAsia" w:ascii="仿宋_GB2312" w:hAnsi="仿宋_GB2312" w:eastAsia="仿宋_GB2312" w:cs="仿宋_GB2312"/>
          <w:color w:val="2A2A2A"/>
          <w:sz w:val="32"/>
          <w:szCs w:val="32"/>
          <w:lang w:val="en-US" w:eastAsia="zh-CN"/>
        </w:rPr>
        <w:t>中央政法纪检监察转移支付资金。</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2.项目实施情况：2020年项目已开始实施</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中央专项转移支付</w:t>
      </w:r>
      <w:r>
        <w:rPr>
          <w:rFonts w:hint="eastAsia" w:ascii="仿宋_GB2312" w:hAnsi="仿宋_GB2312" w:eastAsia="仿宋_GB2312" w:cs="仿宋_GB2312"/>
          <w:sz w:val="32"/>
          <w:szCs w:val="32"/>
          <w:lang w:val="en-US" w:eastAsia="zh-CN"/>
        </w:rPr>
        <w:t>资金投入使用情况</w:t>
      </w:r>
    </w:p>
    <w:p>
      <w:pPr>
        <w:pStyle w:val="13"/>
        <w:keepNext w:val="0"/>
        <w:keepLines w:val="0"/>
        <w:pageBreakBefore w:val="0"/>
        <w:widowControl/>
        <w:kinsoku/>
        <w:wordWrap/>
        <w:overflowPunct/>
        <w:topLinePunct w:val="0"/>
        <w:autoSpaceDE/>
        <w:autoSpaceDN/>
        <w:bidi w:val="0"/>
        <w:adjustRightInd/>
        <w:snapToGrid/>
        <w:spacing w:line="640" w:lineRule="exact"/>
        <w:ind w:firstLine="627" w:firstLineChars="196"/>
        <w:rPr>
          <w:rFonts w:hint="eastAsia" w:ascii="仿宋_GB2312" w:hAnsi="仿宋_GB2312" w:eastAsia="仿宋_GB2312" w:cs="仿宋_GB2312"/>
          <w:color w:val="2A2A2A"/>
          <w:sz w:val="32"/>
          <w:szCs w:val="32"/>
        </w:rPr>
      </w:pPr>
      <w:r>
        <w:rPr>
          <w:rFonts w:hint="eastAsia" w:ascii="仿宋_GB2312" w:hAnsi="仿宋_GB2312" w:eastAsia="仿宋_GB2312" w:cs="仿宋_GB2312"/>
          <w:color w:val="2A2A2A"/>
          <w:sz w:val="32"/>
          <w:szCs w:val="32"/>
          <w:lang w:val="en-US" w:eastAsia="zh-CN"/>
        </w:rPr>
        <w:t>中央财政下达专项转移支付资金309万元。</w:t>
      </w:r>
      <w:r>
        <w:rPr>
          <w:rFonts w:hint="eastAsia" w:ascii="仿宋_GB2312" w:hAnsi="仿宋_GB2312" w:eastAsia="仿宋_GB2312" w:cs="仿宋_GB2312"/>
          <w:color w:val="2A2A2A"/>
          <w:sz w:val="32"/>
          <w:szCs w:val="32"/>
        </w:rPr>
        <w:t>其中</w:t>
      </w:r>
      <w:r>
        <w:rPr>
          <w:rFonts w:hint="eastAsia" w:ascii="仿宋_GB2312" w:hAnsi="仿宋_GB2312" w:eastAsia="仿宋_GB2312" w:cs="仿宋_GB2312"/>
          <w:color w:val="2A2A2A"/>
          <w:sz w:val="32"/>
          <w:szCs w:val="32"/>
          <w:lang w:eastAsia="zh-CN"/>
        </w:rPr>
        <w:t>：</w:t>
      </w:r>
      <w:r>
        <w:rPr>
          <w:rFonts w:hint="eastAsia" w:ascii="仿宋_GB2312" w:hAnsi="仿宋_GB2312" w:eastAsia="仿宋_GB2312" w:cs="仿宋_GB2312"/>
          <w:color w:val="2A2A2A"/>
          <w:sz w:val="32"/>
          <w:szCs w:val="32"/>
          <w:lang w:val="en-US" w:eastAsia="zh-CN"/>
        </w:rPr>
        <w:t>2020</w:t>
      </w:r>
      <w:r>
        <w:rPr>
          <w:rFonts w:hint="eastAsia" w:ascii="仿宋_GB2312" w:hAnsi="仿宋_GB2312" w:eastAsia="仿宋_GB2312" w:cs="仿宋_GB2312"/>
          <w:color w:val="2A2A2A"/>
          <w:sz w:val="32"/>
          <w:szCs w:val="32"/>
        </w:rPr>
        <w:t>年我院</w:t>
      </w:r>
      <w:r>
        <w:rPr>
          <w:rFonts w:hint="eastAsia" w:ascii="仿宋_GB2312" w:hAnsi="仿宋_GB2312" w:eastAsia="仿宋_GB2312" w:cs="仿宋_GB2312"/>
          <w:color w:val="2A2A2A"/>
          <w:sz w:val="32"/>
          <w:szCs w:val="32"/>
          <w:lang w:val="en-US" w:eastAsia="zh-CN"/>
        </w:rPr>
        <w:t>中央政法纪检监察转移支付资金（办案业务经费）</w:t>
      </w:r>
      <w:r>
        <w:rPr>
          <w:rFonts w:hint="eastAsia" w:ascii="仿宋_GB2312" w:hAnsi="仿宋_GB2312" w:eastAsia="仿宋_GB2312" w:cs="仿宋_GB2312"/>
          <w:color w:val="2A2A2A"/>
          <w:sz w:val="32"/>
          <w:szCs w:val="32"/>
        </w:rPr>
        <w:t>预算为：</w:t>
      </w:r>
      <w:r>
        <w:rPr>
          <w:rFonts w:hint="eastAsia" w:ascii="仿宋_GB2312" w:hAnsi="仿宋_GB2312" w:eastAsia="仿宋_GB2312" w:cs="仿宋_GB2312"/>
          <w:color w:val="2A2A2A"/>
          <w:sz w:val="32"/>
          <w:szCs w:val="32"/>
          <w:lang w:eastAsia="zh-CN"/>
        </w:rPr>
        <w:t>179</w:t>
      </w:r>
      <w:r>
        <w:rPr>
          <w:rFonts w:hint="eastAsia" w:ascii="仿宋_GB2312" w:hAnsi="仿宋_GB2312" w:eastAsia="仿宋_GB2312" w:cs="仿宋_GB2312"/>
          <w:color w:val="2A2A2A"/>
          <w:sz w:val="32"/>
          <w:szCs w:val="32"/>
        </w:rPr>
        <w:t>万元。</w:t>
      </w:r>
      <w:r>
        <w:rPr>
          <w:rFonts w:hint="eastAsia" w:ascii="仿宋_GB2312" w:hAnsi="仿宋_GB2312" w:eastAsia="仿宋_GB2312" w:cs="仿宋_GB2312"/>
          <w:color w:val="2A2A2A"/>
          <w:sz w:val="32"/>
          <w:szCs w:val="32"/>
          <w:lang w:val="en-US" w:eastAsia="zh-CN"/>
        </w:rPr>
        <w:t>202</w:t>
      </w:r>
      <w:r>
        <w:rPr>
          <w:rFonts w:hint="eastAsia" w:ascii="仿宋_GB2312" w:hAnsi="仿宋_GB2312" w:eastAsia="仿宋_GB2312" w:cs="仿宋_GB2312"/>
          <w:color w:val="2A2A2A"/>
          <w:sz w:val="32"/>
          <w:szCs w:val="32"/>
          <w:lang w:eastAsia="zh-CN"/>
        </w:rPr>
        <w:t>0</w:t>
      </w:r>
      <w:r>
        <w:rPr>
          <w:rFonts w:hint="eastAsia" w:ascii="仿宋_GB2312" w:hAnsi="仿宋_GB2312" w:eastAsia="仿宋_GB2312" w:cs="仿宋_GB2312"/>
          <w:color w:val="2A2A2A"/>
          <w:sz w:val="32"/>
          <w:szCs w:val="32"/>
        </w:rPr>
        <w:t>年我院</w:t>
      </w:r>
      <w:r>
        <w:rPr>
          <w:rFonts w:hint="eastAsia" w:ascii="仿宋_GB2312" w:hAnsi="仿宋_GB2312" w:eastAsia="仿宋_GB2312" w:cs="仿宋_GB2312"/>
          <w:color w:val="2A2A2A"/>
          <w:sz w:val="32"/>
          <w:szCs w:val="32"/>
          <w:lang w:val="en-US" w:eastAsia="zh-CN"/>
        </w:rPr>
        <w:t>中央政法纪检监察转移支付资金办案业务装备费预算为</w:t>
      </w:r>
      <w:r>
        <w:rPr>
          <w:rFonts w:hint="eastAsia" w:ascii="仿宋_GB2312" w:hAnsi="仿宋_GB2312" w:eastAsia="仿宋_GB2312" w:cs="仿宋_GB2312"/>
          <w:color w:val="2A2A2A"/>
          <w:sz w:val="32"/>
          <w:szCs w:val="32"/>
          <w:lang w:eastAsia="zh-CN"/>
        </w:rPr>
        <w:t>120</w:t>
      </w:r>
      <w:r>
        <w:rPr>
          <w:rFonts w:hint="eastAsia" w:ascii="仿宋_GB2312" w:hAnsi="仿宋_GB2312" w:eastAsia="仿宋_GB2312" w:cs="仿宋_GB2312"/>
          <w:color w:val="2A2A2A"/>
          <w:sz w:val="32"/>
          <w:szCs w:val="32"/>
        </w:rPr>
        <w:t>万元。</w:t>
      </w:r>
      <w:r>
        <w:rPr>
          <w:rFonts w:hint="eastAsia" w:ascii="仿宋_GB2312" w:hAnsi="仿宋_GB2312" w:eastAsia="仿宋_GB2312" w:cs="仿宋_GB2312"/>
          <w:color w:val="2A2A2A"/>
          <w:sz w:val="32"/>
          <w:szCs w:val="32"/>
          <w:lang w:val="en-US" w:eastAsia="zh-CN"/>
        </w:rPr>
        <w:t>20</w:t>
      </w:r>
      <w:r>
        <w:rPr>
          <w:rFonts w:hint="eastAsia" w:ascii="仿宋_GB2312" w:hAnsi="仿宋_GB2312" w:eastAsia="仿宋_GB2312" w:cs="仿宋_GB2312"/>
          <w:color w:val="2A2A2A"/>
          <w:sz w:val="32"/>
          <w:szCs w:val="32"/>
          <w:lang w:eastAsia="zh-CN"/>
        </w:rPr>
        <w:t>20</w:t>
      </w:r>
      <w:r>
        <w:rPr>
          <w:rFonts w:hint="eastAsia" w:ascii="仿宋_GB2312" w:hAnsi="仿宋_GB2312" w:eastAsia="仿宋_GB2312" w:cs="仿宋_GB2312"/>
          <w:color w:val="2A2A2A"/>
          <w:sz w:val="32"/>
          <w:szCs w:val="32"/>
        </w:rPr>
        <w:t>年我院</w:t>
      </w:r>
      <w:r>
        <w:rPr>
          <w:rFonts w:hint="eastAsia" w:ascii="仿宋_GB2312" w:hAnsi="仿宋_GB2312" w:eastAsia="仿宋_GB2312" w:cs="仿宋_GB2312"/>
          <w:color w:val="2A2A2A"/>
          <w:sz w:val="32"/>
          <w:szCs w:val="32"/>
          <w:lang w:val="en-US" w:eastAsia="zh-CN"/>
        </w:rPr>
        <w:t>中央政法纪检监察转移支付资金扫黑除恶因素专项经费预算为</w:t>
      </w:r>
      <w:r>
        <w:rPr>
          <w:rFonts w:hint="eastAsia" w:ascii="仿宋_GB2312" w:hAnsi="仿宋_GB2312" w:eastAsia="仿宋_GB2312" w:cs="仿宋_GB2312"/>
          <w:color w:val="2A2A2A"/>
          <w:sz w:val="32"/>
          <w:szCs w:val="32"/>
          <w:lang w:eastAsia="zh-CN"/>
        </w:rPr>
        <w:t>3</w:t>
      </w:r>
      <w:r>
        <w:rPr>
          <w:rFonts w:hint="eastAsia" w:ascii="仿宋_GB2312" w:hAnsi="仿宋_GB2312" w:eastAsia="仿宋_GB2312" w:cs="仿宋_GB2312"/>
          <w:color w:val="2A2A2A"/>
          <w:sz w:val="32"/>
          <w:szCs w:val="32"/>
        </w:rPr>
        <w:t>万元。</w:t>
      </w:r>
      <w:r>
        <w:rPr>
          <w:rFonts w:hint="eastAsia" w:ascii="仿宋_GB2312" w:hAnsi="仿宋_GB2312" w:eastAsia="仿宋_GB2312" w:cs="仿宋_GB2312"/>
          <w:color w:val="2A2A2A"/>
          <w:sz w:val="32"/>
          <w:szCs w:val="32"/>
          <w:lang w:eastAsia="zh-CN"/>
        </w:rPr>
        <w:t>2020</w:t>
      </w:r>
      <w:r>
        <w:rPr>
          <w:rFonts w:hint="eastAsia" w:ascii="仿宋_GB2312" w:hAnsi="仿宋_GB2312" w:eastAsia="仿宋_GB2312" w:cs="仿宋_GB2312"/>
          <w:color w:val="2A2A2A"/>
          <w:sz w:val="32"/>
          <w:szCs w:val="32"/>
        </w:rPr>
        <w:t>年我院</w:t>
      </w:r>
      <w:r>
        <w:rPr>
          <w:rFonts w:hint="eastAsia" w:ascii="仿宋_GB2312" w:hAnsi="仿宋_GB2312" w:eastAsia="仿宋_GB2312" w:cs="仿宋_GB2312"/>
          <w:color w:val="2A2A2A"/>
          <w:sz w:val="32"/>
          <w:szCs w:val="32"/>
          <w:lang w:val="en-US" w:eastAsia="zh-CN"/>
        </w:rPr>
        <w:t>中央政法纪检监察转移支付资金</w:t>
      </w:r>
      <w:r>
        <w:rPr>
          <w:rFonts w:hint="eastAsia" w:ascii="仿宋_GB2312" w:hAnsi="仿宋_GB2312" w:eastAsia="仿宋_GB2312" w:cs="仿宋_GB2312"/>
          <w:color w:val="2A2A2A"/>
          <w:sz w:val="32"/>
          <w:szCs w:val="32"/>
          <w:lang w:eastAsia="zh-CN"/>
        </w:rPr>
        <w:t>新冠防控</w:t>
      </w:r>
      <w:r>
        <w:rPr>
          <w:rFonts w:hint="eastAsia" w:ascii="仿宋_GB2312" w:hAnsi="仿宋_GB2312" w:eastAsia="仿宋_GB2312" w:cs="仿宋_GB2312"/>
          <w:color w:val="2A2A2A"/>
          <w:sz w:val="32"/>
          <w:szCs w:val="32"/>
          <w:lang w:val="en-US" w:eastAsia="zh-CN"/>
        </w:rPr>
        <w:t>因素专项经费预算为</w:t>
      </w:r>
      <w:r>
        <w:rPr>
          <w:rFonts w:hint="eastAsia" w:ascii="仿宋_GB2312" w:hAnsi="仿宋_GB2312" w:eastAsia="仿宋_GB2312" w:cs="仿宋_GB2312"/>
          <w:color w:val="2A2A2A"/>
          <w:sz w:val="32"/>
          <w:szCs w:val="32"/>
          <w:lang w:eastAsia="zh-CN"/>
        </w:rPr>
        <w:t>7</w:t>
      </w:r>
      <w:r>
        <w:rPr>
          <w:rFonts w:hint="eastAsia" w:ascii="仿宋_GB2312" w:hAnsi="仿宋_GB2312" w:eastAsia="仿宋_GB2312" w:cs="仿宋_GB2312"/>
          <w:color w:val="2A2A2A"/>
          <w:sz w:val="32"/>
          <w:szCs w:val="32"/>
        </w:rPr>
        <w:t>万元。</w:t>
      </w:r>
    </w:p>
    <w:p>
      <w:pPr>
        <w:pStyle w:val="13"/>
        <w:keepNext w:val="0"/>
        <w:keepLines w:val="0"/>
        <w:pageBreakBefore w:val="0"/>
        <w:widowControl/>
        <w:kinsoku/>
        <w:wordWrap/>
        <w:overflowPunct/>
        <w:topLinePunct w:val="0"/>
        <w:autoSpaceDE/>
        <w:autoSpaceDN/>
        <w:bidi w:val="0"/>
        <w:adjustRightInd/>
        <w:snapToGrid/>
        <w:spacing w:line="640" w:lineRule="exact"/>
        <w:ind w:firstLine="627" w:firstLineChars="196"/>
        <w:rPr>
          <w:rFonts w:hint="eastAsia" w:ascii="仿宋_GB2312" w:hAnsi="仿宋_GB2312" w:eastAsia="仿宋_GB2312" w:cs="仿宋_GB2312"/>
          <w:color w:val="2A2A2A"/>
          <w:sz w:val="32"/>
          <w:szCs w:val="32"/>
          <w:lang w:val="en-US" w:eastAsia="zh-CN"/>
        </w:rPr>
      </w:pPr>
      <w:r>
        <w:rPr>
          <w:rFonts w:hint="eastAsia" w:ascii="仿宋_GB2312" w:hAnsi="仿宋_GB2312" w:eastAsia="仿宋_GB2312" w:cs="仿宋_GB2312"/>
          <w:color w:val="2A2A2A"/>
          <w:sz w:val="32"/>
          <w:szCs w:val="32"/>
          <w:lang w:val="en-US" w:eastAsia="zh-CN"/>
        </w:rPr>
        <w:t>2020</w:t>
      </w:r>
      <w:r>
        <w:rPr>
          <w:rFonts w:hint="eastAsia" w:ascii="仿宋_GB2312" w:hAnsi="仿宋_GB2312" w:eastAsia="仿宋_GB2312" w:cs="仿宋_GB2312"/>
          <w:color w:val="2A2A2A"/>
          <w:sz w:val="32"/>
          <w:szCs w:val="32"/>
        </w:rPr>
        <w:t>年我院</w:t>
      </w:r>
      <w:r>
        <w:rPr>
          <w:rFonts w:hint="eastAsia" w:ascii="仿宋_GB2312" w:hAnsi="仿宋_GB2312" w:eastAsia="仿宋_GB2312" w:cs="仿宋_GB2312"/>
          <w:color w:val="2A2A2A"/>
          <w:sz w:val="32"/>
          <w:szCs w:val="32"/>
          <w:lang w:val="en-US" w:eastAsia="zh-CN"/>
        </w:rPr>
        <w:t>中央对地方专项转移支付（中央政法纪检监察转移支付资金）</w:t>
      </w:r>
      <w:r>
        <w:rPr>
          <w:rFonts w:hint="eastAsia" w:ascii="仿宋_GB2312" w:hAnsi="仿宋_GB2312" w:eastAsia="仿宋_GB2312" w:cs="仿宋_GB2312"/>
          <w:color w:val="2A2A2A"/>
          <w:sz w:val="32"/>
          <w:szCs w:val="32"/>
        </w:rPr>
        <w:t>总支出为：</w:t>
      </w:r>
      <w:r>
        <w:rPr>
          <w:rFonts w:hint="eastAsia" w:ascii="仿宋_GB2312" w:hAnsi="仿宋_GB2312" w:eastAsia="仿宋_GB2312" w:cs="仿宋_GB2312"/>
          <w:color w:val="2A2A2A"/>
          <w:sz w:val="32"/>
          <w:szCs w:val="32"/>
          <w:lang w:val="en-US" w:eastAsia="zh-CN"/>
        </w:rPr>
        <w:t>82.51</w:t>
      </w:r>
      <w:r>
        <w:rPr>
          <w:rFonts w:hint="eastAsia" w:ascii="仿宋_GB2312" w:hAnsi="仿宋_GB2312" w:eastAsia="仿宋_GB2312" w:cs="仿宋_GB2312"/>
          <w:color w:val="2A2A2A"/>
          <w:sz w:val="32"/>
          <w:szCs w:val="32"/>
        </w:rPr>
        <w:t>万元，其中</w:t>
      </w:r>
      <w:r>
        <w:rPr>
          <w:rFonts w:hint="eastAsia" w:ascii="仿宋_GB2312" w:hAnsi="仿宋_GB2312" w:eastAsia="仿宋_GB2312" w:cs="仿宋_GB2312"/>
          <w:color w:val="2A2A2A"/>
          <w:sz w:val="32"/>
          <w:szCs w:val="32"/>
          <w:lang w:eastAsia="zh-CN"/>
        </w:rPr>
        <w:t>：</w:t>
      </w:r>
      <w:r>
        <w:rPr>
          <w:rFonts w:hint="eastAsia" w:ascii="仿宋_GB2312" w:hAnsi="仿宋_GB2312" w:eastAsia="仿宋_GB2312" w:cs="仿宋_GB2312"/>
          <w:color w:val="2A2A2A"/>
          <w:sz w:val="32"/>
          <w:szCs w:val="32"/>
        </w:rPr>
        <w:t>阿州财行【2020】1号-关于下达2020年政法纪检监察转移支付资金的通知（办案业务经费）支出为</w:t>
      </w:r>
      <w:r>
        <w:rPr>
          <w:rFonts w:hint="eastAsia" w:ascii="仿宋_GB2312" w:hAnsi="仿宋_GB2312" w:eastAsia="仿宋_GB2312" w:cs="仿宋_GB2312"/>
          <w:color w:val="2A2A2A"/>
          <w:sz w:val="32"/>
          <w:szCs w:val="32"/>
          <w:lang w:val="en-US" w:eastAsia="zh-CN"/>
        </w:rPr>
        <w:t>82.51</w:t>
      </w:r>
      <w:r>
        <w:rPr>
          <w:rFonts w:hint="eastAsia" w:ascii="仿宋_GB2312" w:hAnsi="仿宋_GB2312" w:eastAsia="仿宋_GB2312" w:cs="仿宋_GB2312"/>
          <w:color w:val="2A2A2A"/>
          <w:sz w:val="32"/>
          <w:szCs w:val="32"/>
        </w:rPr>
        <w:t>万元。阿州财行【2020】1号—1-关于下达2020年政法纪检监察转移支付资金的通知（业务装备经费）</w:t>
      </w:r>
      <w:r>
        <w:rPr>
          <w:rFonts w:hint="eastAsia" w:ascii="仿宋_GB2312" w:hAnsi="仿宋_GB2312" w:eastAsia="仿宋_GB2312" w:cs="仿宋_GB2312"/>
          <w:color w:val="2A2A2A"/>
          <w:sz w:val="32"/>
          <w:szCs w:val="32"/>
          <w:lang w:val="en-US" w:eastAsia="zh-CN"/>
        </w:rPr>
        <w:t>支出59.18万元。</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rPr>
        <w:t>绩效目标</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支持2020年度各项办案任务经费支出，购置办案需要装备支出，全面完成全年工作的目标任务。</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rPr>
        <w:t>二、绩效自评工作开展情况</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color w:val="2A2A2A"/>
          <w:sz w:val="32"/>
          <w:szCs w:val="32"/>
        </w:rPr>
        <w:t>根据阿坝州财政局《关于开展</w:t>
      </w:r>
      <w:r>
        <w:rPr>
          <w:rFonts w:hint="eastAsia" w:ascii="仿宋_GB2312" w:hAnsi="仿宋_GB2312" w:eastAsia="仿宋_GB2312" w:cs="仿宋_GB2312"/>
          <w:color w:val="2A2A2A"/>
          <w:sz w:val="32"/>
          <w:szCs w:val="32"/>
          <w:lang w:val="en-US" w:eastAsia="zh-CN"/>
        </w:rPr>
        <w:t>2021</w:t>
      </w:r>
      <w:r>
        <w:rPr>
          <w:rFonts w:hint="eastAsia" w:ascii="仿宋_GB2312" w:hAnsi="仿宋_GB2312" w:eastAsia="仿宋_GB2312" w:cs="仿宋_GB2312"/>
          <w:color w:val="2A2A2A"/>
          <w:sz w:val="32"/>
          <w:szCs w:val="32"/>
        </w:rPr>
        <w:t>年财政支出绩效评价工作的通知》（阿州财</w:t>
      </w:r>
      <w:r>
        <w:rPr>
          <w:rFonts w:hint="eastAsia" w:ascii="仿宋_GB2312" w:hAnsi="仿宋_GB2312" w:eastAsia="仿宋_GB2312" w:cs="仿宋_GB2312"/>
          <w:color w:val="2A2A2A"/>
          <w:sz w:val="32"/>
          <w:szCs w:val="32"/>
          <w:lang w:eastAsia="zh-CN"/>
        </w:rPr>
        <w:t>监绩</w:t>
      </w:r>
      <w:r>
        <w:rPr>
          <w:rFonts w:hint="eastAsia" w:ascii="仿宋_GB2312" w:hAnsi="仿宋_GB2312" w:eastAsia="仿宋_GB2312" w:cs="仿宋_GB2312"/>
          <w:color w:val="2A2A2A"/>
          <w:sz w:val="32"/>
          <w:szCs w:val="32"/>
        </w:rPr>
        <w:t>〔20</w:t>
      </w:r>
      <w:r>
        <w:rPr>
          <w:rFonts w:hint="eastAsia" w:ascii="仿宋_GB2312" w:hAnsi="仿宋_GB2312" w:eastAsia="仿宋_GB2312" w:cs="仿宋_GB2312"/>
          <w:color w:val="2A2A2A"/>
          <w:sz w:val="32"/>
          <w:szCs w:val="32"/>
          <w:lang w:val="en-US" w:eastAsia="zh-CN"/>
        </w:rPr>
        <w:t>21</w:t>
      </w:r>
      <w:r>
        <w:rPr>
          <w:rFonts w:hint="eastAsia" w:ascii="仿宋_GB2312" w:hAnsi="仿宋_GB2312" w:eastAsia="仿宋_GB2312" w:cs="仿宋_GB2312"/>
          <w:color w:val="2A2A2A"/>
          <w:sz w:val="32"/>
          <w:szCs w:val="32"/>
        </w:rPr>
        <w:t>〕</w:t>
      </w:r>
      <w:r>
        <w:rPr>
          <w:rFonts w:hint="eastAsia" w:ascii="仿宋_GB2312" w:hAnsi="仿宋_GB2312" w:eastAsia="仿宋_GB2312" w:cs="仿宋_GB2312"/>
          <w:color w:val="2A2A2A"/>
          <w:sz w:val="32"/>
          <w:szCs w:val="32"/>
          <w:lang w:val="en-US" w:eastAsia="zh-CN"/>
        </w:rPr>
        <w:t>11</w:t>
      </w:r>
      <w:r>
        <w:rPr>
          <w:rFonts w:hint="eastAsia" w:ascii="仿宋_GB2312" w:hAnsi="仿宋_GB2312" w:eastAsia="仿宋_GB2312" w:cs="仿宋_GB2312"/>
          <w:color w:val="2A2A2A"/>
          <w:sz w:val="32"/>
          <w:szCs w:val="32"/>
        </w:rPr>
        <w:t>号），我院按照“全范围、全级次、全内容”的原则要求，对本院</w:t>
      </w:r>
      <w:r>
        <w:rPr>
          <w:rFonts w:hint="eastAsia" w:ascii="仿宋_GB2312" w:hAnsi="仿宋_GB2312" w:eastAsia="仿宋_GB2312" w:cs="仿宋_GB2312"/>
          <w:color w:val="2A2A2A"/>
          <w:sz w:val="32"/>
          <w:szCs w:val="32"/>
          <w:lang w:val="en-US" w:eastAsia="zh-CN"/>
        </w:rPr>
        <w:t>中央对地方专项转移支付预算执行情况绩效</w:t>
      </w:r>
      <w:r>
        <w:rPr>
          <w:rFonts w:hint="eastAsia" w:ascii="仿宋_GB2312" w:hAnsi="仿宋_GB2312" w:eastAsia="仿宋_GB2312" w:cs="仿宋_GB2312"/>
          <w:color w:val="2A2A2A"/>
          <w:sz w:val="32"/>
          <w:szCs w:val="32"/>
        </w:rPr>
        <w:t>自查自评</w:t>
      </w:r>
      <w:r>
        <w:rPr>
          <w:rFonts w:hint="eastAsia" w:ascii="仿宋_GB2312" w:hAnsi="仿宋_GB2312" w:eastAsia="仿宋_GB2312" w:cs="仿宋_GB2312"/>
          <w:color w:val="2A2A2A"/>
          <w:sz w:val="32"/>
          <w:szCs w:val="32"/>
          <w:lang w:val="en-US" w:eastAsia="zh-CN"/>
        </w:rPr>
        <w:t>的</w:t>
      </w:r>
      <w:r>
        <w:rPr>
          <w:rFonts w:hint="eastAsia" w:ascii="仿宋_GB2312" w:hAnsi="仿宋_GB2312" w:eastAsia="仿宋_GB2312" w:cs="仿宋_GB2312"/>
          <w:sz w:val="32"/>
          <w:szCs w:val="32"/>
        </w:rPr>
        <w:t>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我院</w:t>
      </w:r>
      <w:r>
        <w:rPr>
          <w:rFonts w:hint="eastAsia" w:ascii="仿宋_GB2312" w:hAnsi="仿宋_GB2312" w:eastAsia="仿宋_GB2312" w:cs="仿宋_GB2312"/>
          <w:sz w:val="32"/>
          <w:szCs w:val="32"/>
        </w:rPr>
        <w:t>认真学习理解通知精神，并根据通知要求全面梳理项目实施和资金拨付情况，全面开展绩效自评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我局对</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年中央财政专项转移支付资金绩效情况进行统一自评，形成自评报告。</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rPr>
        <w:t>三、综合评价结论</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color w:val="2A2A2A"/>
          <w:sz w:val="32"/>
          <w:szCs w:val="32"/>
          <w:lang w:val="en-US" w:eastAsia="zh-CN"/>
        </w:rPr>
        <w:t>2020</w:t>
      </w:r>
      <w:r>
        <w:rPr>
          <w:rFonts w:hint="eastAsia" w:ascii="仿宋_GB2312" w:hAnsi="仿宋_GB2312" w:eastAsia="仿宋_GB2312" w:cs="仿宋_GB2312"/>
          <w:color w:val="2A2A2A"/>
          <w:sz w:val="32"/>
          <w:szCs w:val="32"/>
        </w:rPr>
        <w:t>年我院</w:t>
      </w:r>
      <w:r>
        <w:rPr>
          <w:rFonts w:hint="eastAsia" w:ascii="仿宋_GB2312" w:hAnsi="仿宋_GB2312" w:eastAsia="仿宋_GB2312" w:cs="仿宋_GB2312"/>
          <w:color w:val="2A2A2A"/>
          <w:sz w:val="32"/>
          <w:szCs w:val="32"/>
          <w:lang w:val="en-US" w:eastAsia="zh-CN"/>
        </w:rPr>
        <w:t>中央政法纪检监察转移支付资金</w:t>
      </w:r>
      <w:r>
        <w:rPr>
          <w:rFonts w:hint="eastAsia" w:ascii="仿宋_GB2312" w:hAnsi="仿宋_GB2312" w:eastAsia="仿宋_GB2312" w:cs="仿宋_GB2312"/>
          <w:sz w:val="32"/>
          <w:szCs w:val="32"/>
        </w:rPr>
        <w:t>资金，项目基本完成预定目标，达到了预期效果，项目效益明显。</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lang w:val="en-US" w:eastAsia="zh-CN"/>
        </w:rPr>
        <w:t>四、</w:t>
      </w:r>
      <w:r>
        <w:rPr>
          <w:rFonts w:hint="eastAsia" w:ascii="黑体" w:hAnsi="黑体" w:eastAsia="黑体" w:cs="黑体"/>
          <w:b/>
          <w:bCs/>
          <w:sz w:val="32"/>
          <w:szCs w:val="32"/>
        </w:rPr>
        <w:t>绩效指标</w:t>
      </w:r>
      <w:r>
        <w:rPr>
          <w:rFonts w:hint="eastAsia" w:ascii="黑体" w:hAnsi="黑体" w:eastAsia="黑体" w:cs="黑体"/>
          <w:b/>
          <w:bCs/>
          <w:sz w:val="32"/>
          <w:szCs w:val="32"/>
          <w:lang w:val="en-US" w:eastAsia="zh-CN"/>
        </w:rPr>
        <w:t>评价</w:t>
      </w:r>
      <w:r>
        <w:rPr>
          <w:rFonts w:hint="eastAsia" w:ascii="黑体" w:hAnsi="黑体" w:eastAsia="黑体" w:cs="黑体"/>
          <w:b/>
          <w:bCs/>
          <w:sz w:val="32"/>
          <w:szCs w:val="32"/>
        </w:rPr>
        <w:t>分析。</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1.产出指标完成情况分析。</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（1）数量指标。</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2020年我院办理各类案件数量指标如下图：</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p>
    <w:tbl>
      <w:tblPr>
        <w:tblStyle w:val="14"/>
        <w:tblW w:w="8760" w:type="dxa"/>
        <w:tblInd w:w="0" w:type="dxa"/>
        <w:tblLayout w:type="autofit"/>
        <w:tblCellMar>
          <w:top w:w="0" w:type="dxa"/>
          <w:left w:w="0" w:type="dxa"/>
          <w:bottom w:w="0" w:type="dxa"/>
          <w:right w:w="0" w:type="dxa"/>
        </w:tblCellMar>
      </w:tblPr>
      <w:tblGrid>
        <w:gridCol w:w="4575"/>
        <w:gridCol w:w="1121"/>
        <w:gridCol w:w="1139"/>
        <w:gridCol w:w="1925"/>
      </w:tblGrid>
      <w:tr>
        <w:tblPrEx>
          <w:tblCellMar>
            <w:top w:w="0" w:type="dxa"/>
            <w:left w:w="0" w:type="dxa"/>
            <w:bottom w:w="0" w:type="dxa"/>
            <w:right w:w="0" w:type="dxa"/>
          </w:tblCellMar>
        </w:tblPrEx>
        <w:trPr>
          <w:trHeight w:val="522"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三级指标</w:t>
            </w:r>
          </w:p>
        </w:tc>
        <w:tc>
          <w:tcPr>
            <w:tcW w:w="112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年度指标值</w:t>
            </w:r>
          </w:p>
        </w:tc>
        <w:tc>
          <w:tcPr>
            <w:tcW w:w="11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全年完成值</w:t>
            </w:r>
          </w:p>
        </w:tc>
        <w:tc>
          <w:tcPr>
            <w:tcW w:w="192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未完成原因和改进措施</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审查逮捕人数(人)</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30</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30</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审查批准延长羁押人数（人）</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30</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50</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审查起诉人数（人）</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15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15</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二审上诉案件办理数（件）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20</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20</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民事行政案件办理数（件）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9</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公益诉讼案件办理数（件）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2</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各类信访案件办理数（件）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30</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41</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国家司法救助人数（人）</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1</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2</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刑事申诉案件办理数（件）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6</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刑事申诉案件立案复查数（件）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1</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3</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检察技术案件办理数（件）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8</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业务装备修理维护数(台套)</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2</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检察宣传次数(次)</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8</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培训人次(次)</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7</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购置信息网络设备数量(台套)</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3</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4</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购置检察业务常规设备数量(台套)</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20</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26</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bl>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（2）质量指标。</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2020年我院案件办结率98%，业务装备采购质量合格率达100%。</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（3）时效指标。</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2020年我院业务装备采购及时，财政下拨政法转移资金及时足额，装备到位率达100%。</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2.效益指标完成情况分析。</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（1）经济效益。</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2020年我院在检察环节扣押、追缴违法所得</w:t>
      </w:r>
      <w:r>
        <w:rPr>
          <w:rFonts w:hint="eastAsia" w:ascii="仿宋_GB2312" w:hAnsi="仿宋_GB2312" w:eastAsia="仿宋_GB2312" w:cs="仿宋_GB2312"/>
          <w:sz w:val="32"/>
          <w:szCs w:val="32"/>
          <w:lang w:val="en-US" w:eastAsia="zh-CN"/>
        </w:rPr>
        <w:t>258</w:t>
      </w:r>
      <w:r>
        <w:rPr>
          <w:rFonts w:hint="eastAsia" w:ascii="仿宋_GB2312" w:hAnsi="仿宋_GB2312" w:eastAsia="仿宋_GB2312" w:cs="仿宋_GB2312"/>
          <w:sz w:val="32"/>
          <w:szCs w:val="32"/>
        </w:rPr>
        <w:t>万元，全部已上缴国库。</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（2）社会效益。</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2020年我院继续在立足检察职能打击各类刑事犯罪，依法履行法律监督职能，为维护社会治安稳定和社会公平正义等方面提供了有力的司法保障。</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（3）生态效益。</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在有力呵护绿美名山，开展</w:t>
      </w:r>
      <w:r>
        <w:rPr>
          <w:rFonts w:hint="eastAsia" w:ascii="仿宋_GB2312" w:hAnsi="仿宋_GB2312" w:eastAsia="仿宋_GB2312" w:cs="仿宋_GB2312"/>
          <w:sz w:val="32"/>
          <w:szCs w:val="32"/>
          <w:lang w:val="en-US" w:eastAsia="zh-CN"/>
        </w:rPr>
        <w:t>黄河、</w:t>
      </w:r>
      <w:r>
        <w:rPr>
          <w:rFonts w:hint="eastAsia" w:ascii="仿宋_GB2312" w:hAnsi="仿宋_GB2312" w:eastAsia="仿宋_GB2312" w:cs="仿宋_GB2312"/>
          <w:sz w:val="32"/>
          <w:szCs w:val="32"/>
        </w:rPr>
        <w:t>长江流域“十年禁渔”行动，筑牢长江上游生态屏障，起诉非法采矿、非法捕捞水产品、非法采伐毁坏国家重点保护植物等破坏环境资源犯罪。在追究当事人刑事责任的同时，要求违法行为人对其造成的生态破坏进行修复，对破坏环境资源刑事犯罪提起附带民事公益诉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修复受损生态，保护生物多样性。</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（4）可持续影响。</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建立扫黑除恶、环境保护、未成年人保护等长效工作机制，长期致力于为维护社会治安稳定和维护社会公平正义提供保障。</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3.满意度指标完成情况分析。</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通过对违法犯罪行为的打击、环境保护、化解社会矛盾纠纷、扫黑除恶等工作的推进，确保了社会公众对我院的满意度达100%，并持续改善干警办案工作环境，加大办案经费投入力度确保办案人员满意度达100%。</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eastAsia" w:ascii="黑体" w:hAnsi="黑体" w:eastAsia="黑体" w:cs="黑体"/>
          <w:sz w:val="32"/>
          <w:szCs w:val="32"/>
        </w:rPr>
      </w:pPr>
      <w:r>
        <w:rPr>
          <w:rFonts w:hint="eastAsia" w:ascii="黑体" w:hAnsi="黑体" w:eastAsia="黑体" w:cs="黑体"/>
          <w:b/>
          <w:bCs/>
          <w:sz w:val="32"/>
          <w:szCs w:val="32"/>
          <w:lang w:val="en-US" w:eastAsia="zh-CN"/>
        </w:rPr>
        <w:t>五、存在主要问题</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2020年，我院的政法转移资金支付项目完全按照项目要求支付，</w:t>
      </w:r>
      <w:r>
        <w:rPr>
          <w:rFonts w:hint="eastAsia" w:ascii="仿宋_GB2312" w:hAnsi="仿宋_GB2312" w:eastAsia="仿宋_GB2312" w:cs="仿宋_GB2312"/>
          <w:sz w:val="32"/>
          <w:szCs w:val="32"/>
          <w:lang w:val="en-US" w:eastAsia="zh-CN"/>
        </w:rPr>
        <w:t>支付进度较慢</w:t>
      </w:r>
      <w:r>
        <w:rPr>
          <w:rFonts w:hint="eastAsia" w:ascii="仿宋_GB2312" w:hAnsi="仿宋_GB2312" w:eastAsia="仿宋_GB2312" w:cs="仿宋_GB2312"/>
          <w:sz w:val="32"/>
          <w:szCs w:val="32"/>
        </w:rPr>
        <w:t>。</w:t>
      </w:r>
    </w:p>
    <w:p>
      <w:pPr>
        <w:keepNext w:val="0"/>
        <w:keepLines w:val="0"/>
        <w:pageBreakBefore w:val="0"/>
        <w:widowControl w:val="0"/>
        <w:numPr>
          <w:ilvl w:val="0"/>
          <w:numId w:val="11"/>
        </w:numPr>
        <w:kinsoku/>
        <w:wordWrap/>
        <w:overflowPunct/>
        <w:topLinePunct w:val="0"/>
        <w:autoSpaceDE/>
        <w:autoSpaceDN/>
        <w:bidi w:val="0"/>
        <w:adjustRightInd/>
        <w:snapToGrid/>
        <w:spacing w:line="640"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相关措施建议</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无</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6"/>
          <w:rFonts w:ascii="黑体" w:hAnsi="黑体" w:eastAsia="黑体"/>
          <w:b w:val="0"/>
        </w:rPr>
      </w:pPr>
      <w:bookmarkStart w:id="76" w:name="_GoBack"/>
      <w:bookmarkEnd w:id="76"/>
      <w:r>
        <w:rPr>
          <w:rFonts w:hint="eastAsia" w:ascii="黑体" w:hAnsi="黑体" w:eastAsia="黑体"/>
          <w:color w:val="000000"/>
          <w:sz w:val="44"/>
          <w:szCs w:val="44"/>
        </w:rPr>
        <w:t>第</w:t>
      </w:r>
      <w:r>
        <w:rPr>
          <w:rStyle w:val="26"/>
          <w:rFonts w:hint="eastAsia" w:ascii="黑体" w:hAnsi="黑体" w:eastAsia="黑体"/>
        </w:rPr>
        <w:t>五部分 附表</w:t>
      </w:r>
      <w:bookmarkEnd w:id="62"/>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63" w:name="_Toc15396619"/>
      <w:r>
        <w:rPr>
          <w:rFonts w:hint="eastAsia" w:ascii="仿宋" w:hAnsi="仿宋" w:eastAsia="仿宋"/>
          <w:b w:val="0"/>
          <w:color w:val="000000"/>
        </w:rPr>
        <w:t>一、收</w:t>
      </w:r>
      <w:r>
        <w:rPr>
          <w:rStyle w:val="27"/>
          <w:rFonts w:hint="eastAsia" w:ascii="仿宋" w:hAnsi="仿宋" w:eastAsia="仿宋"/>
          <w:b/>
          <w:bCs/>
        </w:rPr>
        <w:t>入支出决算总表</w:t>
      </w:r>
      <w:bookmarkEnd w:id="63"/>
    </w:p>
    <w:p>
      <w:pPr>
        <w:pStyle w:val="3"/>
        <w:rPr>
          <w:rFonts w:ascii="仿宋" w:hAnsi="仿宋" w:eastAsia="仿宋"/>
          <w:color w:val="000000"/>
        </w:rPr>
      </w:pPr>
      <w:bookmarkStart w:id="64" w:name="_Toc15396620"/>
      <w:r>
        <w:rPr>
          <w:rFonts w:hint="eastAsia" w:ascii="仿宋" w:hAnsi="仿宋" w:eastAsia="仿宋"/>
          <w:b w:val="0"/>
          <w:color w:val="000000"/>
        </w:rPr>
        <w:t>二、收</w:t>
      </w:r>
      <w:r>
        <w:rPr>
          <w:rStyle w:val="27"/>
          <w:rFonts w:hint="eastAsia" w:ascii="仿宋" w:hAnsi="仿宋" w:eastAsia="仿宋"/>
          <w:b/>
          <w:bCs/>
        </w:rPr>
        <w:t>入总表</w:t>
      </w:r>
      <w:bookmarkEnd w:id="64"/>
    </w:p>
    <w:p>
      <w:pPr>
        <w:pStyle w:val="3"/>
        <w:rPr>
          <w:rFonts w:ascii="仿宋" w:hAnsi="仿宋" w:eastAsia="仿宋"/>
          <w:color w:val="000000"/>
        </w:rPr>
      </w:pPr>
      <w:bookmarkStart w:id="65" w:name="_Toc15396621"/>
      <w:r>
        <w:rPr>
          <w:rStyle w:val="27"/>
          <w:rFonts w:hint="eastAsia" w:ascii="仿宋" w:hAnsi="仿宋" w:eastAsia="仿宋"/>
          <w:b/>
          <w:bCs/>
        </w:rPr>
        <w:t>三、</w:t>
      </w:r>
      <w:r>
        <w:rPr>
          <w:rFonts w:hint="eastAsia" w:ascii="仿宋" w:hAnsi="仿宋" w:eastAsia="仿宋"/>
          <w:b w:val="0"/>
          <w:color w:val="000000"/>
        </w:rPr>
        <w:t>支</w:t>
      </w:r>
      <w:r>
        <w:rPr>
          <w:rStyle w:val="27"/>
          <w:rFonts w:hint="eastAsia" w:ascii="仿宋" w:hAnsi="仿宋" w:eastAsia="仿宋"/>
          <w:b/>
          <w:bCs/>
        </w:rPr>
        <w:t>出总表</w:t>
      </w:r>
      <w:bookmarkEnd w:id="65"/>
    </w:p>
    <w:p>
      <w:pPr>
        <w:pStyle w:val="3"/>
        <w:rPr>
          <w:rFonts w:ascii="仿宋" w:hAnsi="仿宋" w:eastAsia="仿宋"/>
          <w:b w:val="0"/>
          <w:color w:val="000000"/>
        </w:rPr>
      </w:pPr>
      <w:bookmarkStart w:id="66" w:name="_Toc15396622"/>
      <w:r>
        <w:rPr>
          <w:rStyle w:val="27"/>
          <w:rFonts w:hint="eastAsia" w:ascii="仿宋" w:hAnsi="仿宋" w:eastAsia="仿宋"/>
          <w:b/>
          <w:bCs/>
        </w:rPr>
        <w:t>四、</w:t>
      </w:r>
      <w:r>
        <w:rPr>
          <w:rFonts w:hint="eastAsia" w:ascii="仿宋" w:hAnsi="仿宋" w:eastAsia="仿宋"/>
          <w:b w:val="0"/>
          <w:color w:val="000000"/>
        </w:rPr>
        <w:t>财</w:t>
      </w:r>
      <w:r>
        <w:rPr>
          <w:rStyle w:val="27"/>
          <w:rFonts w:hint="eastAsia" w:ascii="仿宋" w:hAnsi="仿宋" w:eastAsia="仿宋"/>
          <w:b/>
          <w:bCs/>
        </w:rPr>
        <w:t>政拨款收入支出决算总表</w:t>
      </w:r>
      <w:bookmarkEnd w:id="66"/>
    </w:p>
    <w:p>
      <w:pPr>
        <w:pStyle w:val="3"/>
        <w:rPr>
          <w:rFonts w:ascii="仿宋" w:hAnsi="仿宋" w:eastAsia="仿宋"/>
          <w:color w:val="000000"/>
        </w:rPr>
      </w:pPr>
      <w:bookmarkStart w:id="67" w:name="_Toc15396623"/>
      <w:r>
        <w:rPr>
          <w:rStyle w:val="27"/>
          <w:rFonts w:hint="eastAsia" w:ascii="仿宋" w:hAnsi="仿宋" w:eastAsia="仿宋"/>
          <w:b/>
          <w:bCs/>
        </w:rPr>
        <w:t>五、</w:t>
      </w:r>
      <w:r>
        <w:rPr>
          <w:rFonts w:hint="eastAsia" w:ascii="仿宋" w:hAnsi="仿宋" w:eastAsia="仿宋"/>
          <w:b w:val="0"/>
          <w:color w:val="000000"/>
        </w:rPr>
        <w:t>财</w:t>
      </w:r>
      <w:r>
        <w:rPr>
          <w:rStyle w:val="27"/>
          <w:rFonts w:hint="eastAsia" w:ascii="仿宋" w:hAnsi="仿宋" w:eastAsia="仿宋"/>
          <w:b/>
          <w:bCs/>
        </w:rPr>
        <w:t>政拨款支出决算明细表（政府经济分类科目）</w:t>
      </w:r>
      <w:bookmarkEnd w:id="67"/>
    </w:p>
    <w:p>
      <w:pPr>
        <w:pStyle w:val="3"/>
        <w:rPr>
          <w:rFonts w:ascii="仿宋" w:hAnsi="仿宋" w:eastAsia="仿宋"/>
          <w:color w:val="000000"/>
        </w:rPr>
      </w:pPr>
      <w:bookmarkStart w:id="68" w:name="_Toc15396624"/>
      <w:r>
        <w:rPr>
          <w:rStyle w:val="27"/>
          <w:rFonts w:hint="eastAsia" w:ascii="仿宋" w:hAnsi="仿宋" w:eastAsia="仿宋"/>
          <w:b/>
          <w:bCs/>
        </w:rPr>
        <w:t>六、</w:t>
      </w:r>
      <w:r>
        <w:rPr>
          <w:rFonts w:hint="eastAsia" w:ascii="仿宋" w:hAnsi="仿宋" w:eastAsia="仿宋"/>
          <w:b w:val="0"/>
          <w:color w:val="000000"/>
        </w:rPr>
        <w:t>一</w:t>
      </w:r>
      <w:r>
        <w:rPr>
          <w:rStyle w:val="27"/>
          <w:rFonts w:hint="eastAsia" w:ascii="仿宋" w:hAnsi="仿宋" w:eastAsia="仿宋"/>
          <w:b/>
          <w:bCs/>
        </w:rPr>
        <w:t>般公共预算财政拨款支出决算表</w:t>
      </w:r>
      <w:bookmarkEnd w:id="68"/>
    </w:p>
    <w:p>
      <w:pPr>
        <w:pStyle w:val="3"/>
        <w:rPr>
          <w:rFonts w:ascii="仿宋" w:hAnsi="仿宋" w:eastAsia="仿宋"/>
          <w:color w:val="000000"/>
        </w:rPr>
      </w:pPr>
      <w:bookmarkStart w:id="69" w:name="_Toc15396625"/>
      <w:r>
        <w:rPr>
          <w:rStyle w:val="27"/>
          <w:rFonts w:hint="eastAsia" w:ascii="仿宋" w:hAnsi="仿宋" w:eastAsia="仿宋"/>
          <w:b/>
          <w:bCs/>
        </w:rPr>
        <w:t>七、</w:t>
      </w:r>
      <w:r>
        <w:rPr>
          <w:rFonts w:hint="eastAsia" w:ascii="仿宋" w:hAnsi="仿宋" w:eastAsia="仿宋"/>
          <w:b w:val="0"/>
          <w:color w:val="000000"/>
        </w:rPr>
        <w:t>一</w:t>
      </w:r>
      <w:r>
        <w:rPr>
          <w:rStyle w:val="27"/>
          <w:rFonts w:hint="eastAsia" w:ascii="仿宋" w:hAnsi="仿宋" w:eastAsia="仿宋"/>
          <w:b/>
          <w:bCs/>
        </w:rPr>
        <w:t>般公共预算财政拨款支出决算明细表</w:t>
      </w:r>
      <w:bookmarkEnd w:id="69"/>
    </w:p>
    <w:p>
      <w:pPr>
        <w:pStyle w:val="3"/>
        <w:rPr>
          <w:rFonts w:ascii="仿宋" w:hAnsi="仿宋" w:eastAsia="仿宋"/>
          <w:color w:val="000000"/>
        </w:rPr>
      </w:pPr>
      <w:bookmarkStart w:id="70" w:name="_Toc15396626"/>
      <w:r>
        <w:rPr>
          <w:rStyle w:val="27"/>
          <w:rFonts w:hint="eastAsia" w:ascii="仿宋" w:hAnsi="仿宋" w:eastAsia="仿宋"/>
          <w:b/>
          <w:bCs/>
        </w:rPr>
        <w:t>八、</w:t>
      </w:r>
      <w:r>
        <w:rPr>
          <w:rFonts w:hint="eastAsia" w:ascii="仿宋" w:hAnsi="仿宋" w:eastAsia="仿宋"/>
          <w:b w:val="0"/>
          <w:color w:val="000000"/>
        </w:rPr>
        <w:t>一</w:t>
      </w:r>
      <w:r>
        <w:rPr>
          <w:rStyle w:val="27"/>
          <w:rFonts w:hint="eastAsia" w:ascii="仿宋" w:hAnsi="仿宋" w:eastAsia="仿宋"/>
          <w:b/>
          <w:bCs/>
        </w:rPr>
        <w:t>般公共预算财政拨款基本支出决算表</w:t>
      </w:r>
      <w:bookmarkEnd w:id="70"/>
    </w:p>
    <w:p>
      <w:pPr>
        <w:pStyle w:val="3"/>
        <w:rPr>
          <w:rFonts w:ascii="仿宋" w:hAnsi="仿宋" w:eastAsia="仿宋"/>
          <w:color w:val="000000"/>
        </w:rPr>
      </w:pPr>
      <w:bookmarkStart w:id="71" w:name="_Toc15396627"/>
      <w:r>
        <w:rPr>
          <w:rStyle w:val="27"/>
          <w:rFonts w:hint="eastAsia" w:ascii="仿宋" w:hAnsi="仿宋" w:eastAsia="仿宋"/>
          <w:b/>
          <w:bCs/>
        </w:rPr>
        <w:t>九、</w:t>
      </w:r>
      <w:r>
        <w:rPr>
          <w:rFonts w:hint="eastAsia" w:ascii="仿宋" w:hAnsi="仿宋" w:eastAsia="仿宋"/>
          <w:b w:val="0"/>
          <w:color w:val="000000"/>
        </w:rPr>
        <w:t>一</w:t>
      </w:r>
      <w:r>
        <w:rPr>
          <w:rStyle w:val="27"/>
          <w:rFonts w:hint="eastAsia" w:ascii="仿宋" w:hAnsi="仿宋" w:eastAsia="仿宋"/>
          <w:b/>
          <w:bCs/>
        </w:rPr>
        <w:t>般公共预算财政拨款项目支出决算表</w:t>
      </w:r>
      <w:bookmarkEnd w:id="71"/>
    </w:p>
    <w:p>
      <w:pPr>
        <w:pStyle w:val="3"/>
        <w:rPr>
          <w:rFonts w:ascii="仿宋" w:hAnsi="仿宋" w:eastAsia="仿宋"/>
          <w:color w:val="000000"/>
        </w:rPr>
      </w:pPr>
      <w:bookmarkStart w:id="72" w:name="_Toc15396628"/>
      <w:r>
        <w:rPr>
          <w:rStyle w:val="27"/>
          <w:rFonts w:hint="eastAsia" w:ascii="仿宋" w:hAnsi="仿宋" w:eastAsia="仿宋"/>
          <w:b/>
          <w:bCs/>
        </w:rPr>
        <w:t>十、</w:t>
      </w:r>
      <w:r>
        <w:rPr>
          <w:rFonts w:hint="eastAsia" w:ascii="仿宋" w:hAnsi="仿宋" w:eastAsia="仿宋"/>
          <w:b w:val="0"/>
          <w:color w:val="000000"/>
        </w:rPr>
        <w:t>一</w:t>
      </w:r>
      <w:r>
        <w:rPr>
          <w:rStyle w:val="27"/>
          <w:rFonts w:hint="eastAsia" w:ascii="仿宋" w:hAnsi="仿宋" w:eastAsia="仿宋"/>
          <w:b/>
          <w:bCs/>
        </w:rPr>
        <w:t>般公共预算财政拨款“三公”经费支出决算表</w:t>
      </w:r>
      <w:bookmarkEnd w:id="72"/>
    </w:p>
    <w:p>
      <w:pPr>
        <w:pStyle w:val="3"/>
        <w:rPr>
          <w:rFonts w:ascii="仿宋" w:hAnsi="仿宋" w:eastAsia="仿宋"/>
          <w:color w:val="000000"/>
        </w:rPr>
      </w:pPr>
      <w:bookmarkStart w:id="73" w:name="_Toc15396629"/>
      <w:r>
        <w:rPr>
          <w:rStyle w:val="27"/>
          <w:rFonts w:hint="eastAsia" w:ascii="仿宋" w:hAnsi="仿宋" w:eastAsia="仿宋"/>
          <w:b/>
          <w:bCs/>
        </w:rPr>
        <w:t>十一、</w:t>
      </w:r>
      <w:r>
        <w:rPr>
          <w:rFonts w:hint="eastAsia" w:ascii="仿宋" w:hAnsi="仿宋" w:eastAsia="仿宋"/>
          <w:b w:val="0"/>
          <w:color w:val="000000"/>
        </w:rPr>
        <w:t>政</w:t>
      </w:r>
      <w:r>
        <w:rPr>
          <w:rStyle w:val="27"/>
          <w:rFonts w:hint="eastAsia" w:ascii="仿宋" w:hAnsi="仿宋" w:eastAsia="仿宋"/>
          <w:b/>
          <w:bCs/>
        </w:rPr>
        <w:t>府性基金预算财政拨款收入支出决算表</w:t>
      </w:r>
      <w:bookmarkEnd w:id="73"/>
    </w:p>
    <w:p>
      <w:pPr>
        <w:pStyle w:val="3"/>
        <w:rPr>
          <w:rFonts w:ascii="仿宋" w:hAnsi="仿宋" w:eastAsia="仿宋"/>
          <w:color w:val="000000"/>
        </w:rPr>
      </w:pPr>
      <w:bookmarkStart w:id="74" w:name="_Toc15396630"/>
      <w:r>
        <w:rPr>
          <w:rStyle w:val="27"/>
          <w:rFonts w:hint="eastAsia" w:ascii="仿宋" w:hAnsi="仿宋" w:eastAsia="仿宋"/>
          <w:b/>
          <w:bCs/>
        </w:rPr>
        <w:t>十二、</w:t>
      </w:r>
      <w:r>
        <w:rPr>
          <w:rFonts w:hint="eastAsia" w:ascii="仿宋" w:hAnsi="仿宋" w:eastAsia="仿宋"/>
          <w:b w:val="0"/>
          <w:color w:val="000000"/>
        </w:rPr>
        <w:t>政</w:t>
      </w:r>
      <w:r>
        <w:rPr>
          <w:rStyle w:val="27"/>
          <w:rFonts w:hint="eastAsia" w:ascii="仿宋" w:hAnsi="仿宋" w:eastAsia="仿宋"/>
          <w:b/>
          <w:bCs/>
        </w:rPr>
        <w:t>府性基金预算财政拨款“三公”经费支出决算表</w:t>
      </w:r>
      <w:bookmarkEnd w:id="74"/>
    </w:p>
    <w:p>
      <w:pPr>
        <w:pStyle w:val="3"/>
        <w:rPr>
          <w:rFonts w:ascii="仿宋" w:hAnsi="仿宋" w:eastAsia="仿宋"/>
          <w:color w:val="000000" w:themeColor="text1"/>
        </w:rPr>
      </w:pPr>
      <w:bookmarkStart w:id="75" w:name="_Toc15396631"/>
      <w:r>
        <w:rPr>
          <w:rStyle w:val="27"/>
          <w:rFonts w:hint="eastAsia" w:ascii="仿宋" w:hAnsi="仿宋" w:eastAsia="仿宋"/>
          <w:b/>
          <w:bCs/>
        </w:rPr>
        <w:t>十三、</w:t>
      </w:r>
      <w:r>
        <w:rPr>
          <w:rFonts w:hint="eastAsia" w:ascii="仿宋" w:hAnsi="仿宋" w:eastAsia="仿宋"/>
          <w:b w:val="0"/>
          <w:color w:val="000000"/>
        </w:rPr>
        <w:t>国</w:t>
      </w:r>
      <w:r>
        <w:rPr>
          <w:rStyle w:val="27"/>
          <w:rFonts w:hint="eastAsia" w:ascii="仿宋" w:hAnsi="仿宋" w:eastAsia="仿宋"/>
          <w:b/>
          <w:bCs/>
        </w:rPr>
        <w:t>有资本经营预算支出决算表</w:t>
      </w:r>
      <w:bookmarkEnd w:id="75"/>
    </w:p>
    <w:p>
      <w:pPr>
        <w:spacing w:line="580" w:lineRule="exact"/>
        <w:ind w:firstLine="420" w:firstLineChars="200"/>
        <w:rPr>
          <w:rFonts w:ascii="仿宋" w:hAnsi="仿宋" w:eastAsia="仿宋"/>
          <w:color w:val="000000" w:themeColor="text1"/>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Dotum">
    <w:altName w:val="Malgun Gothic"/>
    <w:panose1 w:val="020B0600000101010101"/>
    <w:charset w:val="81"/>
    <w:family w:val="swiss"/>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9"/>
          <w:jc w:val="center"/>
        </w:pPr>
        <w:r>
          <w:fldChar w:fldCharType="begin"/>
        </w:r>
        <w:r>
          <w:instrText xml:space="preserve">PAGE   \* MERGEFORMAT</w:instrText>
        </w:r>
        <w:r>
          <w:fldChar w:fldCharType="separate"/>
        </w:r>
        <w:r>
          <w:rPr>
            <w:lang w:val="zh-CN"/>
          </w:rPr>
          <w:t>22</w:t>
        </w:r>
        <w:r>
          <w:rPr>
            <w:lang w:val="zh-CN"/>
          </w:rP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130050"/>
    <w:multiLevelType w:val="singleLevel"/>
    <w:tmpl w:val="8F130050"/>
    <w:lvl w:ilvl="0" w:tentative="0">
      <w:start w:val="1"/>
      <w:numFmt w:val="chineseCounting"/>
      <w:suff w:val="nothing"/>
      <w:lvlText w:val="（%1）"/>
      <w:lvlJc w:val="left"/>
      <w:rPr>
        <w:rFonts w:hint="eastAsia"/>
        <w:b/>
        <w:bCs/>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E543F304"/>
    <w:multiLevelType w:val="singleLevel"/>
    <w:tmpl w:val="E543F304"/>
    <w:lvl w:ilvl="0" w:tentative="0">
      <w:start w:val="1"/>
      <w:numFmt w:val="chineseCounting"/>
      <w:suff w:val="nothing"/>
      <w:lvlText w:val="（%1）"/>
      <w:lvlJc w:val="left"/>
      <w:rPr>
        <w:rFonts w:hint="eastAsia"/>
        <w:b w:val="0"/>
        <w:bCs w:val="0"/>
      </w:rPr>
    </w:lvl>
  </w:abstractNum>
  <w:abstractNum w:abstractNumId="4">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7">
    <w:nsid w:val="24FE5DD0"/>
    <w:multiLevelType w:val="singleLevel"/>
    <w:tmpl w:val="24FE5DD0"/>
    <w:lvl w:ilvl="0" w:tentative="0">
      <w:start w:val="6"/>
      <w:numFmt w:val="chineseCounting"/>
      <w:suff w:val="nothing"/>
      <w:lvlText w:val="%1、"/>
      <w:lvlJc w:val="left"/>
      <w:rPr>
        <w:rFonts w:hint="eastAsia"/>
      </w:rPr>
    </w:lvl>
  </w:abstractNum>
  <w:abstractNum w:abstractNumId="8">
    <w:nsid w:val="5D84956D"/>
    <w:multiLevelType w:val="singleLevel"/>
    <w:tmpl w:val="5D84956D"/>
    <w:lvl w:ilvl="0" w:tentative="0">
      <w:start w:val="1"/>
      <w:numFmt w:val="decimal"/>
      <w:lvlText w:val="%1."/>
      <w:lvlJc w:val="left"/>
      <w:pPr>
        <w:tabs>
          <w:tab w:val="left" w:pos="312"/>
        </w:tabs>
      </w:pPr>
    </w:lvl>
  </w:abstractNum>
  <w:abstractNum w:abstractNumId="9">
    <w:nsid w:val="7DD5BE24"/>
    <w:multiLevelType w:val="singleLevel"/>
    <w:tmpl w:val="7DD5BE24"/>
    <w:lvl w:ilvl="0" w:tentative="0">
      <w:start w:val="1"/>
      <w:numFmt w:val="chineseCounting"/>
      <w:suff w:val="nothing"/>
      <w:lvlText w:val="%1、"/>
      <w:lvlJc w:val="left"/>
      <w:rPr>
        <w:rFonts w:hint="eastAsia"/>
      </w:rPr>
    </w:lvl>
  </w:abstractNum>
  <w:abstractNum w:abstractNumId="10">
    <w:nsid w:val="7FF52B93"/>
    <w:multiLevelType w:val="multilevel"/>
    <w:tmpl w:val="7FF52B93"/>
    <w:lvl w:ilvl="0" w:tentative="0">
      <w:start w:val="1"/>
      <w:numFmt w:val="japaneseCounting"/>
      <w:lvlText w:val="%1、"/>
      <w:lvlJc w:val="left"/>
      <w:pPr>
        <w:ind w:left="672" w:hanging="672"/>
      </w:pPr>
      <w:rPr>
        <w:rFonts w:hint="eastAsia"/>
        <w:b/>
        <w:bCs/>
        <w:color w:val="00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0"/>
  </w:num>
  <w:num w:numId="2">
    <w:abstractNumId w:val="3"/>
  </w:num>
  <w:num w:numId="3">
    <w:abstractNumId w:val="0"/>
  </w:num>
  <w:num w:numId="4">
    <w:abstractNumId w:val="5"/>
  </w:num>
  <w:num w:numId="5">
    <w:abstractNumId w:val="8"/>
  </w:num>
  <w:num w:numId="6">
    <w:abstractNumId w:val="1"/>
  </w:num>
  <w:num w:numId="7">
    <w:abstractNumId w:val="6"/>
  </w:num>
  <w:num w:numId="8">
    <w:abstractNumId w:val="4"/>
  </w:num>
  <w:num w:numId="9">
    <w:abstractNumId w:val="2"/>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5FDF"/>
    <w:rsid w:val="000222C6"/>
    <w:rsid w:val="000241F2"/>
    <w:rsid w:val="0002549F"/>
    <w:rsid w:val="000408F5"/>
    <w:rsid w:val="00040D2A"/>
    <w:rsid w:val="000574EA"/>
    <w:rsid w:val="00062ED6"/>
    <w:rsid w:val="0006487A"/>
    <w:rsid w:val="00065F8F"/>
    <w:rsid w:val="000768F2"/>
    <w:rsid w:val="0009184B"/>
    <w:rsid w:val="0009593C"/>
    <w:rsid w:val="000B047F"/>
    <w:rsid w:val="000B5923"/>
    <w:rsid w:val="000B5A48"/>
    <w:rsid w:val="000B6FF3"/>
    <w:rsid w:val="000C2138"/>
    <w:rsid w:val="000C3467"/>
    <w:rsid w:val="000C3CA6"/>
    <w:rsid w:val="000D1267"/>
    <w:rsid w:val="000D1D50"/>
    <w:rsid w:val="000D4968"/>
    <w:rsid w:val="000D5782"/>
    <w:rsid w:val="000E41C0"/>
    <w:rsid w:val="000E6613"/>
    <w:rsid w:val="000E7119"/>
    <w:rsid w:val="000F1964"/>
    <w:rsid w:val="00111C63"/>
    <w:rsid w:val="00114E9B"/>
    <w:rsid w:val="00137AA1"/>
    <w:rsid w:val="0014729F"/>
    <w:rsid w:val="00153BB9"/>
    <w:rsid w:val="00157BAB"/>
    <w:rsid w:val="001654D1"/>
    <w:rsid w:val="0018106D"/>
    <w:rsid w:val="001877A7"/>
    <w:rsid w:val="00191536"/>
    <w:rsid w:val="00196687"/>
    <w:rsid w:val="001A1C8A"/>
    <w:rsid w:val="001C0962"/>
    <w:rsid w:val="001C60E8"/>
    <w:rsid w:val="001D7531"/>
    <w:rsid w:val="001E737D"/>
    <w:rsid w:val="001F0592"/>
    <w:rsid w:val="001F7506"/>
    <w:rsid w:val="002006CD"/>
    <w:rsid w:val="00202B36"/>
    <w:rsid w:val="00204B7A"/>
    <w:rsid w:val="0021101A"/>
    <w:rsid w:val="00220536"/>
    <w:rsid w:val="00235629"/>
    <w:rsid w:val="00260C38"/>
    <w:rsid w:val="002616C0"/>
    <w:rsid w:val="002662AA"/>
    <w:rsid w:val="00274A07"/>
    <w:rsid w:val="00280496"/>
    <w:rsid w:val="00284986"/>
    <w:rsid w:val="002900A4"/>
    <w:rsid w:val="00295495"/>
    <w:rsid w:val="002B2613"/>
    <w:rsid w:val="002C5797"/>
    <w:rsid w:val="002D7417"/>
    <w:rsid w:val="002F1818"/>
    <w:rsid w:val="002F567B"/>
    <w:rsid w:val="003216A9"/>
    <w:rsid w:val="0033082B"/>
    <w:rsid w:val="00346865"/>
    <w:rsid w:val="003519CF"/>
    <w:rsid w:val="0037013F"/>
    <w:rsid w:val="00371F8B"/>
    <w:rsid w:val="00380C92"/>
    <w:rsid w:val="0039385C"/>
    <w:rsid w:val="003A484F"/>
    <w:rsid w:val="003B0BE0"/>
    <w:rsid w:val="003B0C1B"/>
    <w:rsid w:val="003B688C"/>
    <w:rsid w:val="003C0291"/>
    <w:rsid w:val="003C39AE"/>
    <w:rsid w:val="003C7B60"/>
    <w:rsid w:val="003D1FB2"/>
    <w:rsid w:val="003D66DA"/>
    <w:rsid w:val="003E1310"/>
    <w:rsid w:val="003E6F55"/>
    <w:rsid w:val="00400DF8"/>
    <w:rsid w:val="0040503F"/>
    <w:rsid w:val="00406254"/>
    <w:rsid w:val="00415873"/>
    <w:rsid w:val="004223DE"/>
    <w:rsid w:val="00434489"/>
    <w:rsid w:val="00437085"/>
    <w:rsid w:val="00443880"/>
    <w:rsid w:val="004464F4"/>
    <w:rsid w:val="00455533"/>
    <w:rsid w:val="00463918"/>
    <w:rsid w:val="00471401"/>
    <w:rsid w:val="00473F31"/>
    <w:rsid w:val="0048263A"/>
    <w:rsid w:val="00487E5D"/>
    <w:rsid w:val="00491D29"/>
    <w:rsid w:val="004934BE"/>
    <w:rsid w:val="004A6A78"/>
    <w:rsid w:val="004A711F"/>
    <w:rsid w:val="004B199D"/>
    <w:rsid w:val="004B4690"/>
    <w:rsid w:val="004C0D66"/>
    <w:rsid w:val="004D20AA"/>
    <w:rsid w:val="004E0A2D"/>
    <w:rsid w:val="004E206B"/>
    <w:rsid w:val="004E6DF7"/>
    <w:rsid w:val="004F0FBD"/>
    <w:rsid w:val="004F1D7A"/>
    <w:rsid w:val="00505A47"/>
    <w:rsid w:val="00512FDA"/>
    <w:rsid w:val="00520DA0"/>
    <w:rsid w:val="00547083"/>
    <w:rsid w:val="005664BB"/>
    <w:rsid w:val="0056674D"/>
    <w:rsid w:val="0057481D"/>
    <w:rsid w:val="0058486E"/>
    <w:rsid w:val="00591C03"/>
    <w:rsid w:val="005D1C8B"/>
    <w:rsid w:val="005D43A8"/>
    <w:rsid w:val="005D5CED"/>
    <w:rsid w:val="005F168F"/>
    <w:rsid w:val="005F1A4C"/>
    <w:rsid w:val="005F5FC7"/>
    <w:rsid w:val="00605688"/>
    <w:rsid w:val="00606719"/>
    <w:rsid w:val="006070AF"/>
    <w:rsid w:val="00607E6C"/>
    <w:rsid w:val="006101B1"/>
    <w:rsid w:val="00612A53"/>
    <w:rsid w:val="00614E44"/>
    <w:rsid w:val="00622830"/>
    <w:rsid w:val="00630AEF"/>
    <w:rsid w:val="006325F8"/>
    <w:rsid w:val="00634C9A"/>
    <w:rsid w:val="006440E4"/>
    <w:rsid w:val="0066343B"/>
    <w:rsid w:val="00664777"/>
    <w:rsid w:val="006748A4"/>
    <w:rsid w:val="006759C4"/>
    <w:rsid w:val="00676A35"/>
    <w:rsid w:val="00683E73"/>
    <w:rsid w:val="006A3141"/>
    <w:rsid w:val="006A59E3"/>
    <w:rsid w:val="006A5E34"/>
    <w:rsid w:val="006B2422"/>
    <w:rsid w:val="006B2B9A"/>
    <w:rsid w:val="006B4A3F"/>
    <w:rsid w:val="006C1937"/>
    <w:rsid w:val="006F020C"/>
    <w:rsid w:val="007037E5"/>
    <w:rsid w:val="0070441A"/>
    <w:rsid w:val="00706E8D"/>
    <w:rsid w:val="007127B7"/>
    <w:rsid w:val="007416B6"/>
    <w:rsid w:val="00746F48"/>
    <w:rsid w:val="0075404D"/>
    <w:rsid w:val="0076182A"/>
    <w:rsid w:val="00767B7E"/>
    <w:rsid w:val="0077426B"/>
    <w:rsid w:val="007770C3"/>
    <w:rsid w:val="00784D24"/>
    <w:rsid w:val="00785FBA"/>
    <w:rsid w:val="00786E4A"/>
    <w:rsid w:val="007875EB"/>
    <w:rsid w:val="007905E1"/>
    <w:rsid w:val="0079426B"/>
    <w:rsid w:val="007A2E13"/>
    <w:rsid w:val="007C2716"/>
    <w:rsid w:val="007D312A"/>
    <w:rsid w:val="007D3F19"/>
    <w:rsid w:val="007E23B0"/>
    <w:rsid w:val="007E7741"/>
    <w:rsid w:val="007F1991"/>
    <w:rsid w:val="007F2C2F"/>
    <w:rsid w:val="007F55FC"/>
    <w:rsid w:val="007F5665"/>
    <w:rsid w:val="00800112"/>
    <w:rsid w:val="00824E83"/>
    <w:rsid w:val="008253BB"/>
    <w:rsid w:val="008334A5"/>
    <w:rsid w:val="008340A2"/>
    <w:rsid w:val="0083706E"/>
    <w:rsid w:val="0084091F"/>
    <w:rsid w:val="008423A5"/>
    <w:rsid w:val="00850625"/>
    <w:rsid w:val="00853718"/>
    <w:rsid w:val="00855221"/>
    <w:rsid w:val="00860645"/>
    <w:rsid w:val="00871F71"/>
    <w:rsid w:val="008722C3"/>
    <w:rsid w:val="00885AF4"/>
    <w:rsid w:val="008939CD"/>
    <w:rsid w:val="008B3617"/>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0245"/>
    <w:rsid w:val="00982EF2"/>
    <w:rsid w:val="00984D29"/>
    <w:rsid w:val="0098660A"/>
    <w:rsid w:val="009931C3"/>
    <w:rsid w:val="009B2C43"/>
    <w:rsid w:val="009B4EAE"/>
    <w:rsid w:val="009B7573"/>
    <w:rsid w:val="009C22F4"/>
    <w:rsid w:val="009C2E98"/>
    <w:rsid w:val="009D3447"/>
    <w:rsid w:val="009D4711"/>
    <w:rsid w:val="009E719C"/>
    <w:rsid w:val="009F1185"/>
    <w:rsid w:val="009F18CD"/>
    <w:rsid w:val="009F2A13"/>
    <w:rsid w:val="00A04EB0"/>
    <w:rsid w:val="00A13CC1"/>
    <w:rsid w:val="00A16847"/>
    <w:rsid w:val="00A237D8"/>
    <w:rsid w:val="00A268C4"/>
    <w:rsid w:val="00A307CD"/>
    <w:rsid w:val="00A40A00"/>
    <w:rsid w:val="00A4142F"/>
    <w:rsid w:val="00A56DF2"/>
    <w:rsid w:val="00A67AB5"/>
    <w:rsid w:val="00A90DAB"/>
    <w:rsid w:val="00A91760"/>
    <w:rsid w:val="00A93B00"/>
    <w:rsid w:val="00A93C21"/>
    <w:rsid w:val="00AC3C6A"/>
    <w:rsid w:val="00AD5620"/>
    <w:rsid w:val="00AD7C1B"/>
    <w:rsid w:val="00AE16BA"/>
    <w:rsid w:val="00AE1EBE"/>
    <w:rsid w:val="00AF7691"/>
    <w:rsid w:val="00B03C9D"/>
    <w:rsid w:val="00B060AE"/>
    <w:rsid w:val="00B10517"/>
    <w:rsid w:val="00B14E76"/>
    <w:rsid w:val="00B161B8"/>
    <w:rsid w:val="00B2048C"/>
    <w:rsid w:val="00B24A2B"/>
    <w:rsid w:val="00B310B9"/>
    <w:rsid w:val="00B35F3F"/>
    <w:rsid w:val="00B36CBB"/>
    <w:rsid w:val="00B425E0"/>
    <w:rsid w:val="00B440AA"/>
    <w:rsid w:val="00B44B70"/>
    <w:rsid w:val="00B501B6"/>
    <w:rsid w:val="00B53C56"/>
    <w:rsid w:val="00B56DFD"/>
    <w:rsid w:val="00B77EA6"/>
    <w:rsid w:val="00B81598"/>
    <w:rsid w:val="00B841F1"/>
    <w:rsid w:val="00B944D6"/>
    <w:rsid w:val="00BB0682"/>
    <w:rsid w:val="00BB4DF0"/>
    <w:rsid w:val="00BC289F"/>
    <w:rsid w:val="00BC5361"/>
    <w:rsid w:val="00BC5460"/>
    <w:rsid w:val="00BC6B50"/>
    <w:rsid w:val="00BD0E25"/>
    <w:rsid w:val="00BD0E2B"/>
    <w:rsid w:val="00BD3FB1"/>
    <w:rsid w:val="00BF1B53"/>
    <w:rsid w:val="00BF5BD6"/>
    <w:rsid w:val="00C03E31"/>
    <w:rsid w:val="00C159EF"/>
    <w:rsid w:val="00C20612"/>
    <w:rsid w:val="00C33E72"/>
    <w:rsid w:val="00C354B2"/>
    <w:rsid w:val="00C35554"/>
    <w:rsid w:val="00C42709"/>
    <w:rsid w:val="00C42CC4"/>
    <w:rsid w:val="00C533CC"/>
    <w:rsid w:val="00C5751C"/>
    <w:rsid w:val="00C61BFC"/>
    <w:rsid w:val="00C62B85"/>
    <w:rsid w:val="00C65438"/>
    <w:rsid w:val="00C759ED"/>
    <w:rsid w:val="00C87E7E"/>
    <w:rsid w:val="00C90266"/>
    <w:rsid w:val="00C91CBB"/>
    <w:rsid w:val="00CC09B6"/>
    <w:rsid w:val="00CC666F"/>
    <w:rsid w:val="00CD1E3F"/>
    <w:rsid w:val="00CD359A"/>
    <w:rsid w:val="00CE44F6"/>
    <w:rsid w:val="00CE49DA"/>
    <w:rsid w:val="00CE61C9"/>
    <w:rsid w:val="00CE7B61"/>
    <w:rsid w:val="00D00095"/>
    <w:rsid w:val="00D12650"/>
    <w:rsid w:val="00D20620"/>
    <w:rsid w:val="00D26091"/>
    <w:rsid w:val="00D33A28"/>
    <w:rsid w:val="00D34E7C"/>
    <w:rsid w:val="00D35489"/>
    <w:rsid w:val="00D51276"/>
    <w:rsid w:val="00D7035F"/>
    <w:rsid w:val="00D8352D"/>
    <w:rsid w:val="00DA0A2C"/>
    <w:rsid w:val="00DA65AC"/>
    <w:rsid w:val="00DB1913"/>
    <w:rsid w:val="00DC410D"/>
    <w:rsid w:val="00DC68CA"/>
    <w:rsid w:val="00DC7CBA"/>
    <w:rsid w:val="00DD73B7"/>
    <w:rsid w:val="00DD7FD3"/>
    <w:rsid w:val="00DF28BC"/>
    <w:rsid w:val="00DF34B9"/>
    <w:rsid w:val="00DF4922"/>
    <w:rsid w:val="00DF6059"/>
    <w:rsid w:val="00E01053"/>
    <w:rsid w:val="00E06589"/>
    <w:rsid w:val="00E07ACF"/>
    <w:rsid w:val="00E1284A"/>
    <w:rsid w:val="00E15D63"/>
    <w:rsid w:val="00E331A1"/>
    <w:rsid w:val="00E33202"/>
    <w:rsid w:val="00E336A9"/>
    <w:rsid w:val="00E50624"/>
    <w:rsid w:val="00E53DD6"/>
    <w:rsid w:val="00E568DF"/>
    <w:rsid w:val="00E64269"/>
    <w:rsid w:val="00E82267"/>
    <w:rsid w:val="00E9719F"/>
    <w:rsid w:val="00EA010F"/>
    <w:rsid w:val="00EB567A"/>
    <w:rsid w:val="00ED1B63"/>
    <w:rsid w:val="00ED3C1F"/>
    <w:rsid w:val="00ED4085"/>
    <w:rsid w:val="00ED420E"/>
    <w:rsid w:val="00EE2F57"/>
    <w:rsid w:val="00EF4C34"/>
    <w:rsid w:val="00EF77C6"/>
    <w:rsid w:val="00F0025A"/>
    <w:rsid w:val="00F01988"/>
    <w:rsid w:val="00F05438"/>
    <w:rsid w:val="00F1104D"/>
    <w:rsid w:val="00F1361C"/>
    <w:rsid w:val="00F160C7"/>
    <w:rsid w:val="00F36D8F"/>
    <w:rsid w:val="00F417B1"/>
    <w:rsid w:val="00F47FB2"/>
    <w:rsid w:val="00F568EB"/>
    <w:rsid w:val="00F602DF"/>
    <w:rsid w:val="00F65E0B"/>
    <w:rsid w:val="00F81FD9"/>
    <w:rsid w:val="00F841AA"/>
    <w:rsid w:val="00FA23E8"/>
    <w:rsid w:val="00FB41FE"/>
    <w:rsid w:val="00FC599D"/>
    <w:rsid w:val="00FD3CC1"/>
    <w:rsid w:val="00FF1E02"/>
    <w:rsid w:val="00FF2426"/>
    <w:rsid w:val="00FF30B4"/>
    <w:rsid w:val="04B23965"/>
    <w:rsid w:val="0EF22FA1"/>
    <w:rsid w:val="10C055FF"/>
    <w:rsid w:val="16BA2F6A"/>
    <w:rsid w:val="16BB723D"/>
    <w:rsid w:val="1815023F"/>
    <w:rsid w:val="191368FD"/>
    <w:rsid w:val="19C800D8"/>
    <w:rsid w:val="240371BF"/>
    <w:rsid w:val="26D36379"/>
    <w:rsid w:val="29FD04D3"/>
    <w:rsid w:val="319F7F4E"/>
    <w:rsid w:val="3B4270C8"/>
    <w:rsid w:val="47B31B40"/>
    <w:rsid w:val="530A7726"/>
    <w:rsid w:val="565144BB"/>
    <w:rsid w:val="5D3647D6"/>
    <w:rsid w:val="69C50BC1"/>
    <w:rsid w:val="72520A2F"/>
    <w:rsid w:val="75501437"/>
    <w:rsid w:val="76674E7E"/>
    <w:rsid w:val="77E35AD2"/>
    <w:rsid w:val="78D640B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unhideWhenUsed/>
    <w:qFormat/>
    <w:uiPriority w:val="35"/>
    <w:rPr>
      <w:rFonts w:eastAsia="黑体" w:asciiTheme="majorHAnsi" w:hAnsiTheme="majorHAnsi" w:cstheme="majorBidi"/>
      <w:sz w:val="20"/>
      <w:szCs w:val="20"/>
    </w:rPr>
  </w:style>
  <w:style w:type="paragraph" w:styleId="6">
    <w:name w:val="Body Text"/>
    <w:basedOn w:val="1"/>
    <w:link w:val="23"/>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9"/>
    <w:semiHidden/>
    <w:unhideWhenUsed/>
    <w:qFormat/>
    <w:uiPriority w:val="99"/>
    <w:rPr>
      <w:sz w:val="18"/>
      <w:szCs w:val="18"/>
    </w:rPr>
  </w:style>
  <w:style w:type="paragraph" w:styleId="9">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qFormat/>
    <w:uiPriority w:val="0"/>
    <w:pPr>
      <w:jc w:val="left"/>
    </w:pPr>
    <w:rPr>
      <w:rFonts w:ascii="Calibri" w:hAnsi="Calibri"/>
      <w:kern w:val="0"/>
      <w:sz w:val="24"/>
    </w:r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Char"/>
    <w:link w:val="10"/>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Char"/>
    <w:link w:val="9"/>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Char"/>
    <w:link w:val="6"/>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Char"/>
    <w:basedOn w:val="15"/>
    <w:link w:val="2"/>
    <w:qFormat/>
    <w:uiPriority w:val="9"/>
    <w:rPr>
      <w:rFonts w:ascii="Times New Roman" w:hAnsi="Times New Roman"/>
      <w:b/>
      <w:bCs/>
      <w:kern w:val="44"/>
      <w:sz w:val="44"/>
      <w:szCs w:val="44"/>
    </w:rPr>
  </w:style>
  <w:style w:type="character" w:customStyle="1" w:styleId="27">
    <w:name w:val="标题 2 Char"/>
    <w:basedOn w:val="15"/>
    <w:link w:val="3"/>
    <w:qFormat/>
    <w:uiPriority w:val="9"/>
    <w:rPr>
      <w:rFonts w:asciiTheme="majorHAnsi" w:hAnsiTheme="majorHAnsi" w:eastAsiaTheme="majorEastAsia" w:cstheme="majorBidi"/>
      <w:b/>
      <w:bCs/>
      <w:kern w:val="2"/>
      <w:sz w:val="32"/>
      <w:szCs w:val="32"/>
    </w:rPr>
  </w:style>
  <w:style w:type="paragraph" w:customStyle="1" w:styleId="28">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9">
    <w:name w:val="批注框文本 Char"/>
    <w:basedOn w:val="15"/>
    <w:link w:val="8"/>
    <w:semiHidden/>
    <w:qFormat/>
    <w:uiPriority w:val="99"/>
    <w:rPr>
      <w:rFonts w:ascii="Times New Roman" w:hAnsi="Times New Roman"/>
      <w:kern w:val="2"/>
      <w:sz w:val="18"/>
      <w:szCs w:val="18"/>
    </w:rPr>
  </w:style>
  <w:style w:type="character" w:customStyle="1" w:styleId="30">
    <w:name w:val="标题 3 Char"/>
    <w:basedOn w:val="15"/>
    <w:link w:val="4"/>
    <w:qFormat/>
    <w:uiPriority w:val="9"/>
    <w:rPr>
      <w:rFonts w:ascii="Times New Roman" w:hAnsi="Times New Roman"/>
      <w:b/>
      <w:bCs/>
      <w:kern w:val="2"/>
      <w:sz w:val="32"/>
      <w:szCs w:val="32"/>
    </w:rPr>
  </w:style>
  <w:style w:type="paragraph" w:customStyle="1" w:styleId="31">
    <w:name w:val="正文1"/>
    <w:qFormat/>
    <w:uiPriority w:val="0"/>
    <w:pPr>
      <w:widowControl w:val="0"/>
      <w:jc w:val="both"/>
    </w:pPr>
    <w:rPr>
      <w:rFonts w:ascii="Times New Roman" w:hAnsi="Times New Roman" w:eastAsia="宋体" w:cs="Times New Roman"/>
      <w:sz w:val="21"/>
      <w:lang w:val="en-US" w:eastAsia="zh-CN" w:bidi="ar-SA"/>
    </w:rPr>
  </w:style>
  <w:style w:type="paragraph" w:customStyle="1" w:styleId="32">
    <w:name w:val="列出段落1"/>
    <w:basedOn w:val="1"/>
    <w:qFormat/>
    <w:uiPriority w:val="34"/>
    <w:pPr>
      <w:ind w:firstLine="420" w:firstLineChars="200"/>
    </w:pPr>
  </w:style>
  <w:style w:type="paragraph" w:customStyle="1" w:styleId="33">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2.emf"/><Relationship Id="rId7" Type="http://schemas.openxmlformats.org/officeDocument/2006/relationships/oleObject" Target="embeddings/oleObject1.bin"/><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F:\&#36130;&#21153;\2019&#24180;\&#38468;&#20214;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36130;&#21153;\2019&#24180;\&#38468;&#20214;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36130;&#21153;\2019&#24180;\&#38468;&#20214;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Sheet1!$A$2</c:f>
              <c:strCache>
                <c:ptCount val="1"/>
                <c:pt idx="0">
                  <c:v>全年支出</c:v>
                </c:pt>
              </c:strCache>
            </c:strRef>
          </c:tx>
          <c:explosion val="0"/>
          <c:dPt>
            <c:idx val="0"/>
            <c:bubble3D val="0"/>
          </c:dPt>
          <c:dPt>
            <c:idx val="1"/>
            <c:bubble3D val="0"/>
          </c:dPt>
          <c:dLbls>
            <c:dLbl>
              <c:idx val="0"/>
              <c:layout>
                <c:manualLayout>
                  <c:x val="-0.0816993464052288"/>
                  <c:y val="-0.165517241379311"/>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t>基本支出</a:t>
                    </a:r>
                    <a:r>
                      <a:rPr lang="en-US"/>
                      <a:t>2264.74</a:t>
                    </a:r>
                    <a:r>
                      <a:rPr altLang="en-US"/>
                      <a:t>万元</a:t>
                    </a:r>
                    <a:r>
                      <a:t>, 8</a:t>
                    </a:r>
                    <a:r>
                      <a:rPr lang="en-US" altLang="zh-CN"/>
                      <a:t>9.76</a:t>
                    </a:r>
                    <a:r>
                      <a:t>%</a:t>
                    </a:r>
                  </a:p>
                </c:rich>
              </c:tx>
              <c:dLblPos val="bestFit"/>
              <c:showLegendKey val="0"/>
              <c:showVal val="1"/>
              <c:showCatName val="1"/>
              <c:showSerName val="0"/>
              <c:showPercent val="1"/>
              <c:showBubbleSize val="0"/>
              <c:extLst>
                <c:ext xmlns:c15="http://schemas.microsoft.com/office/drawing/2012/chart" uri="{CE6537A1-D6FC-4f65-9D91-7224C49458BB}">
                  <c15:layout/>
                </c:ext>
              </c:extLst>
            </c:dLbl>
            <c:dLbl>
              <c:idx val="1"/>
              <c:layout>
                <c:manualLayout>
                  <c:x val="-0.193464052287582"/>
                  <c:y val="0.125287356321839"/>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t>项目支出, ¥</a:t>
                    </a:r>
                    <a:r>
                      <a:rPr lang="en-US" altLang="zh-CN"/>
                      <a:t>330.03</a:t>
                    </a:r>
                    <a:r>
                      <a:rPr altLang="en-US"/>
                      <a:t>万元</a:t>
                    </a:r>
                    <a:endParaRPr altLang="en-US"/>
                  </a:p>
                  <a:p>
                    <a:pPr>
                      <a:defRPr lang="zh-CN" sz="1000" b="0" i="0" u="none" strike="noStrike" kern="1200" baseline="0">
                        <a:solidFill>
                          <a:schemeClr val="tx1"/>
                        </a:solidFill>
                        <a:latin typeface="+mn-lt"/>
                        <a:ea typeface="+mn-ea"/>
                        <a:cs typeface="+mn-cs"/>
                      </a:defRPr>
                    </a:pPr>
                    <a:r>
                      <a:t>, </a:t>
                    </a:r>
                    <a:r>
                      <a:rPr lang="en-US" altLang="zh-CN"/>
                      <a:t>10.24</a:t>
                    </a:r>
                    <a:r>
                      <a:t>%</a:t>
                    </a:r>
                  </a:p>
                </c:rich>
              </c:tx>
              <c:dLblPos val="bestFit"/>
              <c:showLegendKey val="0"/>
              <c:showVal val="1"/>
              <c:showCatName val="1"/>
              <c:showSerName val="0"/>
              <c:showPercent val="1"/>
              <c:showBubbleSize val="0"/>
              <c:extLst>
                <c:ext xmlns:c15="http://schemas.microsoft.com/office/drawing/2012/chart" uri="{CE6537A1-D6FC-4f65-9D91-7224C49458BB}">
                  <c15:layout>
                    <c:manualLayout>
                      <c:w val="0.198039215686275"/>
                      <c:h val="0.224712643678161"/>
                    </c:manualLayout>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Sheet1!$B$1:$C$1</c:f>
              <c:strCache>
                <c:ptCount val="2"/>
                <c:pt idx="0">
                  <c:v>基本支出</c:v>
                </c:pt>
                <c:pt idx="1">
                  <c:v>项目支出</c:v>
                </c:pt>
              </c:strCache>
            </c:strRef>
          </c:cat>
          <c:val>
            <c:numRef>
              <c:f>Sheet1!$B$2:$C$2</c:f>
              <c:numCache>
                <c:formatCode>\¥#,##0.00;\¥\-#,##0.00</c:formatCode>
                <c:ptCount val="2"/>
                <c:pt idx="0">
                  <c:v>2627.92</c:v>
                </c:pt>
                <c:pt idx="1">
                  <c:v>508.61</c:v>
                </c:pt>
              </c:numCache>
            </c:numRef>
          </c:val>
        </c:ser>
        <c:ser>
          <c:idx val="1"/>
          <c:order val="1"/>
          <c:tx>
            <c:strRef>
              <c:f>Sheet1!$A$3</c:f>
              <c:strCache>
                <c:ptCount val="1"/>
                <c:pt idx="0">
                  <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Sheet1!$B$1:$C$1</c:f>
              <c:strCache>
                <c:ptCount val="2"/>
                <c:pt idx="0">
                  <c:v>基本支出</c:v>
                </c:pt>
                <c:pt idx="1">
                  <c:v>项目支出</c:v>
                </c:pt>
              </c:strCache>
            </c:strRef>
          </c:cat>
          <c:val>
            <c:numRef>
              <c:f>Sheet1!$B$3:$C$3</c:f>
              <c:numCache>
                <c:formatCode>General</c:formatCode>
                <c:ptCount val="2"/>
              </c:numCache>
            </c:numRef>
          </c:val>
        </c:ser>
        <c:ser>
          <c:idx val="2"/>
          <c:order val="2"/>
          <c:tx>
            <c:strRef>
              <c:f>Sheet1!$A$4</c:f>
              <c:strCache>
                <c:ptCount val="1"/>
                <c:pt idx="0">
                  <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Sheet1!$B$1:$C$1</c:f>
              <c:strCache>
                <c:ptCount val="2"/>
                <c:pt idx="0">
                  <c:v>基本支出</c:v>
                </c:pt>
                <c:pt idx="1">
                  <c:v>项目支出</c:v>
                </c:pt>
              </c:strCache>
            </c:strRef>
          </c:cat>
          <c:val>
            <c:numRef>
              <c:f>Sheet1!$B$4:$C$4</c:f>
              <c:numCache>
                <c:formatCode>General</c:formatCode>
                <c:ptCount val="2"/>
              </c:numCache>
            </c:numRef>
          </c:val>
        </c:ser>
        <c:dLbls>
          <c:showLegendKey val="0"/>
          <c:showVal val="0"/>
          <c:showCatName val="1"/>
          <c:showSerName val="0"/>
          <c:showPercent val="1"/>
          <c:showBubbleSize val="0"/>
          <c:showLeaderLines val="1"/>
        </c:dLbls>
        <c:firstSliceAng val="15"/>
      </c:pieChart>
      <c:spPr>
        <a:noFill/>
        <a:ln>
          <a:noFill/>
        </a:ln>
        <a:effectLst/>
      </c:spPr>
    </c:plotArea>
    <c:plotVisOnly val="1"/>
    <c:dispBlanksAs val="zero"/>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4.1.</a:t>
            </a:r>
            <a:r>
              <a:rPr altLang="en-US"/>
              <a:t>财政拨款收入决算总计图</a:t>
            </a:r>
            <a:endParaRPr altLang="en-US"/>
          </a:p>
        </c:rich>
      </c:tx>
      <c:layout/>
      <c:overlay val="0"/>
      <c:spPr>
        <a:noFill/>
        <a:ln>
          <a:noFill/>
        </a:ln>
        <a:effectLst/>
      </c:spPr>
    </c:title>
    <c:autoTitleDeleted val="0"/>
    <c:plotArea>
      <c:layout/>
      <c:barChart>
        <c:barDir val="col"/>
        <c:grouping val="clustered"/>
        <c:varyColors val="0"/>
        <c:ser>
          <c:idx val="0"/>
          <c:order val="0"/>
          <c:tx>
            <c:strRef>
              <c:f>"2019年"</c:f>
              <c:strCache>
                <c:ptCount val="1"/>
                <c:pt idx="0">
                  <c:v>2019年</c:v>
                </c:pt>
              </c:strCache>
            </c:strRef>
          </c:tx>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2020</a:t>
                    </a:r>
                    <a:r>
                      <a:rPr lang="zh-CN" altLang="en-US"/>
                      <a:t>年</a:t>
                    </a:r>
                    <a:endParaRPr lang="en-US" altLang="zh-CN"/>
                  </a:p>
                  <a:p>
                    <a:pPr>
                      <a:defRPr lang="zh-CN" sz="1000" b="0" i="0" u="none" strike="noStrike" kern="1200" baseline="0">
                        <a:solidFill>
                          <a:schemeClr val="tx1"/>
                        </a:solidFill>
                        <a:latin typeface="+mn-lt"/>
                        <a:ea typeface="+mn-ea"/>
                        <a:cs typeface="+mn-cs"/>
                      </a:defRPr>
                    </a:pPr>
                    <a:r>
                      <a:rPr lang="en-US" altLang="en-US"/>
                      <a:t>2320.29</a:t>
                    </a:r>
                    <a:r>
                      <a:rPr lang="zh-CN" altLang="en-US"/>
                      <a:t>万元</a:t>
                    </a:r>
                    <a:endParaRPr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trendline>
            <c:trendlineType val="linear"/>
            <c:dispRSqr val="0"/>
            <c:dispEq val="0"/>
          </c:trendline>
          <c:cat>
            <c:numRef>
              <c:f>[1]Sheet1!$C$34:$D$34</c:f>
              <c:numCache>
                <c:formatCode>General</c:formatCode>
                <c:ptCount val="2"/>
                <c:pt idx="0">
                  <c:v>0</c:v>
                </c:pt>
                <c:pt idx="1">
                  <c:v>0</c:v>
                </c:pt>
              </c:numCache>
            </c:numRef>
          </c:cat>
          <c:val>
            <c:numRef>
              <c:f>{2865.91}</c:f>
              <c:numCache>
                <c:formatCode>General</c:formatCode>
                <c:ptCount val="1"/>
                <c:pt idx="0">
                  <c:v>2865.91</c:v>
                </c:pt>
              </c:numCache>
            </c:numRef>
          </c:val>
        </c:ser>
        <c:ser>
          <c:idx val="1"/>
          <c:order val="1"/>
          <c:tx>
            <c:strRef>
              <c:f>"2018年"</c:f>
              <c:strCache>
                <c:ptCount val="1"/>
                <c:pt idx="0">
                  <c:v>2018年</c:v>
                </c:pt>
              </c:strCache>
            </c:strRef>
          </c:tx>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2019</a:t>
                    </a:r>
                    <a:r>
                      <a:rPr lang="zh-CN" altLang="en-US"/>
                      <a:t>年</a:t>
                    </a:r>
                    <a:endParaRPr lang="en-US" altLang="en-US"/>
                  </a:p>
                  <a:p>
                    <a:pPr>
                      <a:defRPr lang="zh-CN" sz="1000" b="0" i="0" u="none" strike="noStrike" kern="1200" baseline="0">
                        <a:solidFill>
                          <a:schemeClr val="tx1"/>
                        </a:solidFill>
                        <a:latin typeface="+mn-lt"/>
                        <a:ea typeface="+mn-ea"/>
                        <a:cs typeface="+mn-cs"/>
                      </a:defRPr>
                    </a:pPr>
                    <a:r>
                      <a:rPr lang="en-US" altLang="en-US"/>
                      <a:t>2763.15</a:t>
                    </a:r>
                    <a:r>
                      <a:rPr lang="zh-CN" altLang="en-US"/>
                      <a:t>万元</a:t>
                    </a:r>
                    <a:endParaRPr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{2928.81}</c:f>
              <c:numCache>
                <c:formatCode>General</c:formatCode>
                <c:ptCount val="1"/>
                <c:pt idx="0">
                  <c:v>2928.81</c:v>
                </c:pt>
              </c:numCache>
            </c:numRef>
          </c:val>
        </c:ser>
        <c:dLbls>
          <c:showLegendKey val="0"/>
          <c:showVal val="0"/>
          <c:showCatName val="0"/>
          <c:showSerName val="0"/>
          <c:showPercent val="0"/>
          <c:showBubbleSize val="0"/>
        </c:dLbls>
        <c:gapWidth val="150"/>
        <c:axId val="70067712"/>
        <c:axId val="70069248"/>
      </c:barChart>
      <c:catAx>
        <c:axId val="70067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069248"/>
        <c:crosses val="autoZero"/>
        <c:auto val="1"/>
        <c:lblAlgn val="ctr"/>
        <c:lblOffset val="100"/>
        <c:noMultiLvlLbl val="0"/>
      </c:catAx>
      <c:valAx>
        <c:axId val="7006924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0677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5.</a:t>
            </a:r>
            <a:r>
              <a:rPr altLang="en-US"/>
              <a:t>一般公共预算财政拨款支出决算变动情况</a:t>
            </a:r>
            <a:endParaRPr altLang="en-US"/>
          </a:p>
        </c:rich>
      </c:tx>
      <c:layout>
        <c:manualLayout>
          <c:xMode val="edge"/>
          <c:yMode val="edge"/>
          <c:x val="0.131111317679013"/>
          <c:y val="0.0115740740740741"/>
        </c:manualLayout>
      </c:layout>
      <c:overlay val="0"/>
      <c:spPr>
        <a:noFill/>
        <a:ln>
          <a:noFill/>
        </a:ln>
        <a:effectLst/>
      </c:spPr>
    </c:title>
    <c:autoTitleDeleted val="0"/>
    <c:plotArea>
      <c:layout/>
      <c:barChart>
        <c:barDir val="col"/>
        <c:grouping val="clustered"/>
        <c:varyColors val="0"/>
        <c:ser>
          <c:idx val="0"/>
          <c:order val="0"/>
          <c:tx>
            <c:strRef>
              <c:f>"2019年"</c:f>
              <c:strCache>
                <c:ptCount val="1"/>
                <c:pt idx="0">
                  <c:v>2019年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[1]Sheet1!$B$26:$C$26</c:f>
              <c:numCache>
                <c:formatCode>General</c:formatCode>
                <c:ptCount val="2"/>
                <c:pt idx="0">
                  <c:v>0</c:v>
                </c:pt>
                <c:pt idx="1">
                  <c:v>0</c:v>
                </c:pt>
              </c:numCache>
            </c:numRef>
          </c:cat>
          <c:val>
            <c:numRef>
              <c:f>{2769.37}</c:f>
              <c:numCache>
                <c:formatCode>General</c:formatCode>
                <c:ptCount val="1"/>
                <c:pt idx="0">
                  <c:v>2769.37</c:v>
                </c:pt>
              </c:numCache>
            </c:numRef>
          </c:val>
        </c:ser>
        <c:ser>
          <c:idx val="1"/>
          <c:order val="1"/>
          <c:tx>
            <c:strRef>
              <c:f>"2018年"</c:f>
              <c:strCache>
                <c:ptCount val="1"/>
                <c:pt idx="0">
                  <c:v>2018年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val>
            <c:numRef>
              <c:f>{3116.54}</c:f>
              <c:numCache>
                <c:formatCode>General</c:formatCode>
                <c:ptCount val="1"/>
                <c:pt idx="0">
                  <c:v>3116.54</c:v>
                </c:pt>
              </c:numCache>
            </c:numRef>
          </c:val>
        </c:ser>
        <c:dLbls>
          <c:showLegendKey val="0"/>
          <c:showVal val="1"/>
          <c:showCatName val="0"/>
          <c:showSerName val="0"/>
          <c:showPercent val="0"/>
          <c:showBubbleSize val="0"/>
        </c:dLbls>
        <c:gapWidth val="150"/>
        <c:axId val="70120192"/>
        <c:axId val="70121728"/>
      </c:barChart>
      <c:catAx>
        <c:axId val="70120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121728"/>
        <c:crosses val="autoZero"/>
        <c:auto val="1"/>
        <c:lblAlgn val="ctr"/>
        <c:lblOffset val="100"/>
        <c:noMultiLvlLbl val="0"/>
      </c:catAx>
      <c:valAx>
        <c:axId val="7012172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120192"/>
        <c:crosses val="autoZero"/>
        <c:crossBetween val="between"/>
      </c:valAx>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800" b="1" i="0" u="none" strike="noStrike" kern="1200" baseline="0">
              <a:solidFill>
                <a:schemeClr val="tx1"/>
              </a:solidFill>
              <a:latin typeface="+mn-lt"/>
              <a:ea typeface="+mn-ea"/>
              <a:cs typeface="+mn-cs"/>
            </a:defRPr>
          </a:pPr>
        </a:p>
      </c:txPr>
    </c:title>
    <c:autoTitleDeleted val="0"/>
    <c:plotArea>
      <c:layout>
        <c:manualLayout>
          <c:layoutTarget val="inner"/>
          <c:xMode val="edge"/>
          <c:yMode val="edge"/>
          <c:x val="0.313193110732343"/>
          <c:y val="0.486844509480563"/>
          <c:w val="0.289603697325569"/>
          <c:h val="0.508443856022422"/>
        </c:manualLayout>
      </c:layout>
      <c:pieChart>
        <c:varyColors val="1"/>
        <c:ser>
          <c:idx val="0"/>
          <c:order val="0"/>
          <c:tx>
            <c:strRef>
              <c:f>图6：一般公共预算财政拨款支出决算结构</c:f>
              <c:strCache>
                <c:ptCount val="1"/>
                <c:pt idx="0">
                  <c:v>图6：一般公共预算财政拨款支出决算结构</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84.97</a:t>
                    </a:r>
                    <a:r>
                      <a:t>%</a:t>
                    </a:r>
                  </a:p>
                </c:rich>
              </c:tx>
              <c:dLblPos val="bestFit"/>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6.01</a:t>
                    </a:r>
                    <a:endParaRPr lang="en-US" altLang="zh-CN"/>
                  </a:p>
                  <a:p>
                    <a:pPr>
                      <a:defRPr lang="zh-CN" sz="1000" b="0" i="0" u="none" strike="noStrike" kern="1200" baseline="0">
                        <a:solidFill>
                          <a:schemeClr val="tx1"/>
                        </a:solidFill>
                        <a:latin typeface="+mn-lt"/>
                        <a:ea typeface="+mn-ea"/>
                        <a:cs typeface="+mn-cs"/>
                      </a:defRPr>
                    </a:pPr>
                    <a:r>
                      <a:t>%</a:t>
                    </a:r>
                  </a:p>
                </c:rich>
              </c:tx>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0.0119275369094168"/>
                  <c:y val="0.0142646833364703"/>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t>3.65</a:t>
                    </a:r>
                    <a:endParaRPr lang="en-US"/>
                  </a:p>
                  <a:p>
                    <a:pPr>
                      <a:defRPr lang="zh-CN" sz="1000" b="0" i="0" u="none" strike="noStrike" kern="1200" baseline="0">
                        <a:solidFill>
                          <a:schemeClr val="tx1"/>
                        </a:solidFill>
                        <a:latin typeface="+mn-lt"/>
                        <a:ea typeface="+mn-ea"/>
                        <a:cs typeface="+mn-cs"/>
                      </a:defRPr>
                    </a:pP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0369215634891914"/>
                  <c:y val="0.00375535667757559"/>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5.38</a:t>
                    </a:r>
                    <a:endParaRPr lang="en-US" altLang="zh-CN"/>
                  </a:p>
                  <a:p>
                    <a:pPr>
                      <a:defRPr lang="zh-CN" sz="1000" b="0" i="0" u="none" strike="noStrike" kern="1200" baseline="0">
                        <a:solidFill>
                          <a:schemeClr val="tx1"/>
                        </a:solidFill>
                        <a:latin typeface="+mn-lt"/>
                        <a:ea typeface="+mn-ea"/>
                        <a:cs typeface="+mn-cs"/>
                      </a:defRPr>
                    </a:pP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{"公共安全支出","社会保障和就业","医疗卫生与计划生育支出","住房保障支出"}</c:f>
              <c:strCache>
                <c:ptCount val="4"/>
                <c:pt idx="0">
                  <c:v>公共安全支出</c:v>
                </c:pt>
                <c:pt idx="1">
                  <c:v>社会保障和就业</c:v>
                </c:pt>
                <c:pt idx="2">
                  <c:v>医疗卫生与计划生育支出</c:v>
                </c:pt>
                <c:pt idx="3">
                  <c:v>住房保障支出</c:v>
                </c:pt>
              </c:strCache>
            </c:strRef>
          </c:cat>
          <c:val>
            <c:numRef>
              <c:f>{2675.28,214.16,90.89,136.21}</c:f>
              <c:numCache>
                <c:formatCode>General</c:formatCode>
                <c:ptCount val="4"/>
                <c:pt idx="0">
                  <c:v>2675.28</c:v>
                </c:pt>
                <c:pt idx="1">
                  <c:v>214.16</c:v>
                </c:pt>
                <c:pt idx="2">
                  <c:v>90.89</c:v>
                </c:pt>
                <c:pt idx="3">
                  <c:v>136.21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161202777404155"/>
          <c:y val="0.167158308751229"/>
          <c:w val="0.677594445191691"/>
          <c:h val="0.219596001827206"/>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0"/>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图8：“三公”经费财政拨款支出结构</a:t>
            </a:r>
          </a:p>
        </c:rich>
      </c:tx>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0677671589921807"/>
                  <c:y val="0"/>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t>0万元</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94.17</a:t>
                    </a:r>
                    <a:r>
                      <a:rPr altLang="en-US"/>
                      <a:t>万元</a:t>
                    </a:r>
                    <a:endParaRPr lang="en-US" altLang="en-US"/>
                  </a:p>
                  <a:p>
                    <a:pPr>
                      <a:defRPr lang="zh-CN" sz="1000" b="0" i="0" u="none" strike="noStrike" kern="1200" baseline="0">
                        <a:solidFill>
                          <a:schemeClr val="tx1"/>
                        </a:solidFill>
                        <a:latin typeface="+mn-lt"/>
                        <a:ea typeface="+mn-ea"/>
                        <a:cs typeface="+mn-cs"/>
                      </a:defRPr>
                    </a:pPr>
                    <a:endParaRPr altLang="en-US"/>
                  </a:p>
                </c:rich>
              </c:tx>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0.134912925197991"/>
                  <c:y val="0.00729831216353431"/>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1.158</a:t>
                    </a:r>
                    <a:r>
                      <a:rPr altLang="en-US"/>
                      <a:t>万元</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[工作簿1]Sheet1!$A$14:$C$14</c:f>
              <c:strCache>
                <c:ptCount val="3"/>
                <c:pt idx="0">
                  <c:v>因公出国（境）费</c:v>
                </c:pt>
                <c:pt idx="1">
                  <c:v>公务用车购置及运行维护费</c:v>
                </c:pt>
                <c:pt idx="2">
                  <c:v>公务接待费</c:v>
                </c:pt>
              </c:strCache>
            </c:strRef>
          </c:cat>
          <c:val>
            <c:numRef>
              <c:f>[工作簿1]Sheet1!$A$15:$C$15</c:f>
              <c:numCache>
                <c:formatCode>General</c:formatCode>
                <c:ptCount val="3"/>
                <c:pt idx="0">
                  <c:v>0</c:v>
                </c:pt>
                <c:pt idx="1">
                  <c:v>36.09</c:v>
                </c:pt>
                <c:pt idx="2">
                  <c:v>0.37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0.29983</cdr:x>
      <cdr:y>0.88209</cdr:y>
    </cdr:from>
    <cdr:to>
      <cdr:x>0.71182</cdr:x>
      <cdr:y>1</cdr:y>
    </cdr:to>
    <cdr:sp>
      <cdr:nvSpPr>
        <cdr:cNvPr id="2" name="矩形 1"/>
        <cdr:cNvSpPr/>
      </cdr:nvSpPr>
      <cdr:spPr xmlns:a="http://schemas.openxmlformats.org/drawingml/2006/main">
        <a:xfrm xmlns:a="http://schemas.openxmlformats.org/drawingml/2006/main">
          <a:off x="1323976" y="1895475"/>
          <a:ext cx="1819274" cy="253365"/>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endParaRPr lang="zh-CN" alt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117AFC-CBF6-479F-9E88-667A1486455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27</Pages>
  <Words>9398</Words>
  <Characters>3310</Characters>
  <Lines>27</Lines>
  <Paragraphs>25</Paragraphs>
  <TotalTime>2</TotalTime>
  <ScaleCrop>false</ScaleCrop>
  <LinksUpToDate>false</LinksUpToDate>
  <CharactersWithSpaces>12683</CharactersWithSpaces>
  <Application>WPS Office_11.1.0.10700_F1E327BC-269C-435d-A152-05C5408002CA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2021-09-18T09:11:00Z</dcterms:created>
  <dc:creator>张彬茜</dc:creator>
  <cp:lastModifiedBy>杨永健</cp:lastModifiedBy>
  <cp:lastPrinted>2020-09-27T07:08:00Z</cp:lastPrinted>
  <dcterms:modified xsi:type="dcterms:W3CDTF">2021-09-23T07:27:39Z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784A03684DC94A5B8B86318CB84ECB89</vt:lpwstr>
  </property>
</Properties>
</file>